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68EF" w14:textId="6686F50C" w:rsidR="00864A8F" w:rsidRPr="00065189" w:rsidRDefault="002B7B37" w:rsidP="00655642">
      <w:pPr>
        <w:pStyle w:val="Heading1"/>
        <w:numPr>
          <w:ilvl w:val="0"/>
          <w:numId w:val="0"/>
        </w:numPr>
        <w:spacing w:before="360" w:after="240" w:line="276" w:lineRule="auto"/>
        <w:ind w:left="431"/>
        <w:jc w:val="center"/>
        <w:rPr>
          <w:rFonts w:ascii="Arial" w:hAnsi="Arial" w:cs="Arial"/>
          <w:b/>
          <w:sz w:val="28"/>
          <w:szCs w:val="28"/>
          <w:lang w:val="en-GB"/>
        </w:rPr>
      </w:pPr>
      <w:bookmarkStart w:id="0" w:name="_Toc530750667"/>
      <w:bookmarkStart w:id="1" w:name="_Toc531696231"/>
      <w:bookmarkStart w:id="2" w:name="_Toc534881540"/>
      <w:bookmarkStart w:id="3" w:name="_Toc4408937"/>
      <w:bookmarkStart w:id="4" w:name="_Toc137558507"/>
      <w:r w:rsidRPr="00065189">
        <w:rPr>
          <w:rFonts w:ascii="Arial" w:hAnsi="Arial" w:cs="Arial"/>
          <w:b/>
          <w:sz w:val="28"/>
          <w:szCs w:val="28"/>
          <w:lang w:val="en-GB"/>
        </w:rPr>
        <w:t>General Eligibility Criteria</w:t>
      </w:r>
      <w:bookmarkEnd w:id="0"/>
      <w:bookmarkEnd w:id="1"/>
      <w:bookmarkEnd w:id="2"/>
      <w:bookmarkEnd w:id="3"/>
      <w:bookmarkEnd w:id="4"/>
    </w:p>
    <w:p w14:paraId="3DCDB729" w14:textId="48E2EFF2" w:rsidR="00FB5A25" w:rsidRPr="00065189" w:rsidRDefault="00FB332A" w:rsidP="00650C7A">
      <w:pPr>
        <w:pStyle w:val="ListParagraph"/>
        <w:spacing w:line="276" w:lineRule="auto"/>
        <w:ind w:left="0"/>
        <w:jc w:val="both"/>
        <w:rPr>
          <w:rFonts w:eastAsiaTheme="minorEastAsia" w:cs="Arial"/>
          <w:szCs w:val="20"/>
          <w:lang w:val="en-GB" w:eastAsia="hr-HR"/>
        </w:rPr>
      </w:pPr>
      <w:r w:rsidRPr="00065189">
        <w:rPr>
          <w:rFonts w:eastAsiaTheme="minorEastAsia" w:cs="Arial"/>
          <w:szCs w:val="20"/>
          <w:lang w:val="en-GB" w:eastAsia="hr-HR"/>
        </w:rPr>
        <w:t xml:space="preserve">The </w:t>
      </w:r>
      <w:r w:rsidR="00650C7A" w:rsidRPr="00065189">
        <w:rPr>
          <w:rFonts w:eastAsiaTheme="minorEastAsia" w:cs="Arial"/>
          <w:szCs w:val="20"/>
          <w:lang w:val="en-GB" w:eastAsia="hr-HR"/>
        </w:rPr>
        <w:t>General Eligibility Criteria define the general characteristics, restrictions and special features that apply to lending for projects/clients under the loan programmes</w:t>
      </w:r>
      <w:r w:rsidR="00FB5A25" w:rsidRPr="00065189">
        <w:rPr>
          <w:rFonts w:eastAsiaTheme="minorEastAsia" w:cs="Arial"/>
          <w:szCs w:val="20"/>
          <w:lang w:val="en-GB"/>
        </w:rPr>
        <w:t>:</w:t>
      </w:r>
      <w:r w:rsidR="00FB5A25" w:rsidRPr="00065189">
        <w:rPr>
          <w:rFonts w:eastAsia="Times New Roman" w:cs="Arial"/>
          <w:bCs/>
          <w:szCs w:val="20"/>
          <w:lang w:val="en-GB" w:eastAsia="hr-HR"/>
        </w:rPr>
        <w:t xml:space="preserve"> </w:t>
      </w:r>
      <w:bookmarkStart w:id="5" w:name="_Hlk1480171"/>
      <w:r w:rsidR="00101448" w:rsidRPr="00065189">
        <w:rPr>
          <w:rFonts w:eastAsia="Times New Roman" w:cs="Arial"/>
          <w:b/>
          <w:bCs/>
          <w:szCs w:val="20"/>
          <w:lang w:val="en-GB" w:eastAsia="hr-HR"/>
        </w:rPr>
        <w:t xml:space="preserve">Youth, Female and Start-Up Entrepreneurship; Private Sector Investment; Public Sector Investment; </w:t>
      </w:r>
      <w:r w:rsidR="007D20AC" w:rsidRPr="00065189">
        <w:rPr>
          <w:rFonts w:eastAsia="Times New Roman" w:cs="Arial"/>
          <w:b/>
          <w:bCs/>
          <w:szCs w:val="20"/>
          <w:lang w:val="en-GB" w:eastAsia="hr-HR"/>
        </w:rPr>
        <w:t xml:space="preserve">Special SME Segments Investment under the National </w:t>
      </w:r>
      <w:r w:rsidR="00203FA3" w:rsidRPr="00065189">
        <w:rPr>
          <w:rFonts w:eastAsia="Times New Roman" w:cs="Arial"/>
          <w:b/>
          <w:bCs/>
          <w:szCs w:val="20"/>
          <w:lang w:val="en-GB" w:eastAsia="hr-HR"/>
        </w:rPr>
        <w:t>Recovery and Resilience Plan</w:t>
      </w:r>
      <w:r w:rsidR="00CF6FF6" w:rsidRPr="00065189">
        <w:rPr>
          <w:rFonts w:eastAsia="Times New Roman" w:cs="Arial"/>
          <w:b/>
          <w:bCs/>
          <w:szCs w:val="20"/>
          <w:lang w:val="en-GB" w:eastAsia="hr-HR"/>
        </w:rPr>
        <w:t xml:space="preserve"> (</w:t>
      </w:r>
      <w:r w:rsidR="003067CE" w:rsidRPr="00065189">
        <w:rPr>
          <w:rFonts w:eastAsia="Times New Roman" w:cs="Arial"/>
          <w:b/>
          <w:bCs/>
          <w:szCs w:val="20"/>
          <w:lang w:val="en-GB" w:eastAsia="hr-HR"/>
        </w:rPr>
        <w:t xml:space="preserve">NRRP); </w:t>
      </w:r>
      <w:r w:rsidR="00101448" w:rsidRPr="00065189">
        <w:rPr>
          <w:rFonts w:eastAsia="Times New Roman" w:cs="Arial"/>
          <w:b/>
          <w:bCs/>
          <w:szCs w:val="20"/>
          <w:lang w:val="en-GB" w:eastAsia="hr-HR"/>
        </w:rPr>
        <w:t>EU Projects; Working Capital; Pre-Export Finance; Financial Restructuri</w:t>
      </w:r>
      <w:r w:rsidR="003067CE" w:rsidRPr="00065189">
        <w:rPr>
          <w:rFonts w:eastAsia="Times New Roman" w:cs="Arial"/>
          <w:b/>
          <w:bCs/>
          <w:szCs w:val="20"/>
          <w:lang w:val="en-GB" w:eastAsia="hr-HR"/>
        </w:rPr>
        <w:t>ng</w:t>
      </w:r>
      <w:r w:rsidR="00F8762B" w:rsidRPr="00065189">
        <w:rPr>
          <w:rFonts w:eastAsia="Times New Roman" w:cs="Arial"/>
          <w:szCs w:val="20"/>
          <w:lang w:val="en-GB" w:eastAsia="hr-HR"/>
        </w:rPr>
        <w:t>.</w:t>
      </w:r>
    </w:p>
    <w:p w14:paraId="60FBDFDA" w14:textId="31F257C4" w:rsidR="00F8762B" w:rsidRPr="00065189" w:rsidRDefault="00F8762B" w:rsidP="00FB5A25">
      <w:pPr>
        <w:pStyle w:val="ListParagraph"/>
        <w:spacing w:line="276" w:lineRule="auto"/>
        <w:ind w:left="0"/>
        <w:jc w:val="both"/>
        <w:rPr>
          <w:rFonts w:eastAsia="Times New Roman" w:cs="Arial"/>
          <w:szCs w:val="20"/>
          <w:lang w:val="en-GB" w:eastAsia="hr-HR"/>
        </w:rPr>
      </w:pPr>
    </w:p>
    <w:p w14:paraId="2C1751C1" w14:textId="2283321C" w:rsidR="00F8762B" w:rsidRPr="00065189" w:rsidRDefault="001003C1" w:rsidP="00204968">
      <w:pPr>
        <w:spacing w:line="276" w:lineRule="auto"/>
        <w:jc w:val="both"/>
        <w:rPr>
          <w:lang w:val="en-GB" w:eastAsia="hr-HR"/>
        </w:rPr>
      </w:pPr>
      <w:bookmarkStart w:id="6" w:name="_Toc4408939"/>
      <w:r w:rsidRPr="00065189">
        <w:rPr>
          <w:lang w:val="en-GB" w:eastAsia="hr-HR"/>
        </w:rPr>
        <w:t xml:space="preserve">The </w:t>
      </w:r>
      <w:r w:rsidR="009A2FED" w:rsidRPr="00065189">
        <w:rPr>
          <w:lang w:val="en-GB" w:eastAsia="hr-HR"/>
        </w:rPr>
        <w:t>General Eligibility Criteria appl</w:t>
      </w:r>
      <w:r w:rsidRPr="00065189">
        <w:rPr>
          <w:lang w:val="en-GB" w:eastAsia="hr-HR"/>
        </w:rPr>
        <w:t xml:space="preserve">y </w:t>
      </w:r>
      <w:r w:rsidR="009A2FED" w:rsidRPr="00065189">
        <w:rPr>
          <w:lang w:val="en-GB" w:eastAsia="hr-HR"/>
        </w:rPr>
        <w:t>to all other HBOR’s loan programmes and products</w:t>
      </w:r>
      <w:r w:rsidRPr="00065189">
        <w:rPr>
          <w:lang w:val="en-GB" w:eastAsia="hr-HR"/>
        </w:rPr>
        <w:t xml:space="preserve"> in all their parts</w:t>
      </w:r>
      <w:r w:rsidR="00C91C5F" w:rsidRPr="00065189">
        <w:rPr>
          <w:lang w:val="en-GB" w:eastAsia="hr-HR"/>
        </w:rPr>
        <w:t xml:space="preserve"> as applicable, unless otherwise defined by an individual programme and/or product</w:t>
      </w:r>
      <w:r w:rsidR="00F8762B" w:rsidRPr="00065189">
        <w:rPr>
          <w:lang w:val="en-GB" w:eastAsia="hr-HR"/>
        </w:rPr>
        <w:t>.</w:t>
      </w:r>
      <w:bookmarkEnd w:id="6"/>
    </w:p>
    <w:p w14:paraId="391DD7B7" w14:textId="77777777" w:rsidR="00F8762B" w:rsidRPr="00065189" w:rsidRDefault="00F8762B" w:rsidP="00FB5A25">
      <w:pPr>
        <w:pStyle w:val="ListParagraph"/>
        <w:spacing w:line="276" w:lineRule="auto"/>
        <w:ind w:left="0"/>
        <w:jc w:val="both"/>
        <w:rPr>
          <w:rFonts w:eastAsia="Times New Roman" w:cs="Arial"/>
          <w:szCs w:val="20"/>
          <w:lang w:val="en-GB" w:eastAsia="hr-HR"/>
        </w:rPr>
      </w:pPr>
    </w:p>
    <w:p w14:paraId="5A4F6B41" w14:textId="77777777" w:rsidR="00290683" w:rsidRPr="00065189" w:rsidRDefault="00290683" w:rsidP="00FB5A25">
      <w:pPr>
        <w:pStyle w:val="ListParagraph"/>
        <w:spacing w:line="276" w:lineRule="auto"/>
        <w:ind w:left="0"/>
        <w:jc w:val="both"/>
        <w:rPr>
          <w:rFonts w:eastAsia="Times New Roman" w:cs="Arial"/>
          <w:szCs w:val="20"/>
          <w:lang w:val="en-GB" w:eastAsia="hr-HR"/>
        </w:rPr>
      </w:pPr>
    </w:p>
    <w:bookmarkEnd w:id="5" w:displacedByCustomXml="next"/>
    <w:bookmarkStart w:id="7" w:name="_Toc93470810" w:displacedByCustomXml="next"/>
    <w:bookmarkStart w:id="8" w:name="_Toc4408938" w:displacedByCustomXml="next"/>
    <w:sdt>
      <w:sdtPr>
        <w:rPr>
          <w:noProof w:val="0"/>
          <w:lang w:val="en-GB"/>
        </w:rPr>
        <w:id w:val="-884179149"/>
        <w:docPartObj>
          <w:docPartGallery w:val="Table of Contents"/>
          <w:docPartUnique/>
        </w:docPartObj>
      </w:sdtPr>
      <w:sdtEndPr/>
      <w:sdtContent>
        <w:bookmarkEnd w:id="8" w:displacedByCustomXml="prev"/>
        <w:bookmarkEnd w:id="7" w:displacedByCustomXml="prev"/>
        <w:p w14:paraId="115680D9" w14:textId="77777777" w:rsidR="003A0158" w:rsidRDefault="00C90E2C" w:rsidP="00877EF7">
          <w:pPr>
            <w:pStyle w:val="TOC1"/>
          </w:pPr>
          <w:r w:rsidRPr="00065189">
            <w:rPr>
              <w:noProof w:val="0"/>
              <w:color w:val="2F5496" w:themeColor="accent1" w:themeShade="BF"/>
              <w:lang w:val="en-GB"/>
            </w:rPr>
            <w:t>Contents</w:t>
          </w:r>
          <w:r w:rsidR="000B1F6C" w:rsidRPr="00065189">
            <w:rPr>
              <w:rFonts w:eastAsiaTheme="majorEastAsia"/>
              <w:noProof w:val="0"/>
              <w:lang w:val="en-GB" w:eastAsia="en-US"/>
            </w:rPr>
            <w:fldChar w:fldCharType="begin"/>
          </w:r>
          <w:r w:rsidR="000B1F6C" w:rsidRPr="00065189">
            <w:rPr>
              <w:noProof w:val="0"/>
              <w:lang w:val="en-GB"/>
            </w:rPr>
            <w:instrText xml:space="preserve"> TOC \o "1-3" \h \z \u </w:instrText>
          </w:r>
          <w:r w:rsidR="000B1F6C" w:rsidRPr="00065189">
            <w:rPr>
              <w:rFonts w:eastAsiaTheme="majorEastAsia"/>
              <w:noProof w:val="0"/>
              <w:lang w:val="en-GB" w:eastAsia="en-US"/>
            </w:rPr>
            <w:fldChar w:fldCharType="separate"/>
          </w:r>
        </w:p>
        <w:p w14:paraId="3E99C738" w14:textId="153EAB87" w:rsidR="003A0158" w:rsidRDefault="00BF1E03">
          <w:pPr>
            <w:pStyle w:val="TOC1"/>
            <w:rPr>
              <w:rFonts w:asciiTheme="minorHAnsi" w:hAnsiTheme="minorHAnsi" w:cstheme="minorBidi"/>
              <w:b w:val="0"/>
              <w:sz w:val="22"/>
              <w:szCs w:val="22"/>
            </w:rPr>
          </w:pPr>
          <w:hyperlink w:anchor="_Toc137558507" w:history="1">
            <w:r w:rsidR="003A0158" w:rsidRPr="003568A7">
              <w:rPr>
                <w:rStyle w:val="Hyperlink"/>
                <w:lang w:val="en-GB"/>
              </w:rPr>
              <w:t>General Eligibility Criteria</w:t>
            </w:r>
            <w:r w:rsidR="003A0158">
              <w:rPr>
                <w:webHidden/>
              </w:rPr>
              <w:tab/>
            </w:r>
            <w:r w:rsidR="003A0158">
              <w:rPr>
                <w:webHidden/>
              </w:rPr>
              <w:fldChar w:fldCharType="begin"/>
            </w:r>
            <w:r w:rsidR="003A0158">
              <w:rPr>
                <w:webHidden/>
              </w:rPr>
              <w:instrText xml:space="preserve"> PAGEREF _Toc137558507 \h </w:instrText>
            </w:r>
            <w:r w:rsidR="003A0158">
              <w:rPr>
                <w:webHidden/>
              </w:rPr>
            </w:r>
            <w:r w:rsidR="003A0158">
              <w:rPr>
                <w:webHidden/>
              </w:rPr>
              <w:fldChar w:fldCharType="separate"/>
            </w:r>
            <w:r>
              <w:rPr>
                <w:webHidden/>
              </w:rPr>
              <w:t>1</w:t>
            </w:r>
            <w:r w:rsidR="003A0158">
              <w:rPr>
                <w:webHidden/>
              </w:rPr>
              <w:fldChar w:fldCharType="end"/>
            </w:r>
          </w:hyperlink>
        </w:p>
        <w:p w14:paraId="2C7C86A3" w14:textId="64736FBB" w:rsidR="003A0158" w:rsidRDefault="00BF1E03">
          <w:pPr>
            <w:pStyle w:val="TOC1"/>
            <w:rPr>
              <w:rFonts w:asciiTheme="minorHAnsi" w:hAnsiTheme="minorHAnsi" w:cstheme="minorBidi"/>
              <w:b w:val="0"/>
              <w:sz w:val="22"/>
              <w:szCs w:val="22"/>
            </w:rPr>
          </w:pPr>
          <w:hyperlink w:anchor="_Toc137558508" w:history="1">
            <w:r w:rsidR="003A0158" w:rsidRPr="003568A7">
              <w:rPr>
                <w:rStyle w:val="Hyperlink"/>
                <w:lang w:val="en-GB"/>
              </w:rPr>
              <w:t>1.</w:t>
            </w:r>
            <w:r w:rsidR="003A0158">
              <w:rPr>
                <w:rFonts w:asciiTheme="minorHAnsi" w:hAnsiTheme="minorHAnsi" w:cstheme="minorBidi"/>
                <w:b w:val="0"/>
                <w:sz w:val="22"/>
                <w:szCs w:val="22"/>
              </w:rPr>
              <w:tab/>
            </w:r>
            <w:r w:rsidR="003A0158" w:rsidRPr="003568A7">
              <w:rPr>
                <w:rStyle w:val="Hyperlink"/>
                <w:lang w:val="en-GB"/>
              </w:rPr>
              <w:t>Borrowers</w:t>
            </w:r>
            <w:r w:rsidR="003A0158">
              <w:rPr>
                <w:webHidden/>
              </w:rPr>
              <w:tab/>
            </w:r>
            <w:r w:rsidR="003A0158">
              <w:rPr>
                <w:webHidden/>
              </w:rPr>
              <w:fldChar w:fldCharType="begin"/>
            </w:r>
            <w:r w:rsidR="003A0158">
              <w:rPr>
                <w:webHidden/>
              </w:rPr>
              <w:instrText xml:space="preserve"> PAGEREF _Toc137558508 \h </w:instrText>
            </w:r>
            <w:r w:rsidR="003A0158">
              <w:rPr>
                <w:webHidden/>
              </w:rPr>
            </w:r>
            <w:r w:rsidR="003A0158">
              <w:rPr>
                <w:webHidden/>
              </w:rPr>
              <w:fldChar w:fldCharType="separate"/>
            </w:r>
            <w:r>
              <w:rPr>
                <w:webHidden/>
              </w:rPr>
              <w:t>3</w:t>
            </w:r>
            <w:r w:rsidR="003A0158">
              <w:rPr>
                <w:webHidden/>
              </w:rPr>
              <w:fldChar w:fldCharType="end"/>
            </w:r>
          </w:hyperlink>
        </w:p>
        <w:p w14:paraId="4045E625" w14:textId="76D757E1" w:rsidR="003A0158" w:rsidRDefault="00BF1E03">
          <w:pPr>
            <w:pStyle w:val="TOC2"/>
            <w:rPr>
              <w:rFonts w:asciiTheme="minorHAnsi" w:hAnsiTheme="minorHAnsi" w:cstheme="minorBidi"/>
              <w:b w:val="0"/>
              <w:bCs w:val="0"/>
              <w:sz w:val="22"/>
              <w:szCs w:val="22"/>
            </w:rPr>
          </w:pPr>
          <w:hyperlink w:anchor="_Toc137558509" w:history="1">
            <w:r w:rsidR="003A0158" w:rsidRPr="003568A7">
              <w:rPr>
                <w:rStyle w:val="Hyperlink"/>
                <w:lang w:val="en-GB"/>
              </w:rPr>
              <w:t>1.1.</w:t>
            </w:r>
            <w:r w:rsidR="003A0158">
              <w:rPr>
                <w:rFonts w:asciiTheme="minorHAnsi" w:hAnsiTheme="minorHAnsi" w:cstheme="minorBidi"/>
                <w:b w:val="0"/>
                <w:bCs w:val="0"/>
                <w:sz w:val="22"/>
                <w:szCs w:val="22"/>
              </w:rPr>
              <w:tab/>
            </w:r>
            <w:r w:rsidR="003A0158" w:rsidRPr="003568A7">
              <w:rPr>
                <w:rStyle w:val="Hyperlink"/>
                <w:lang w:val="en-GB"/>
              </w:rPr>
              <w:t>Eligible Borrowers</w:t>
            </w:r>
            <w:r w:rsidR="003A0158">
              <w:rPr>
                <w:webHidden/>
              </w:rPr>
              <w:tab/>
            </w:r>
            <w:r w:rsidR="003A0158">
              <w:rPr>
                <w:webHidden/>
              </w:rPr>
              <w:fldChar w:fldCharType="begin"/>
            </w:r>
            <w:r w:rsidR="003A0158">
              <w:rPr>
                <w:webHidden/>
              </w:rPr>
              <w:instrText xml:space="preserve"> PAGEREF _Toc137558509 \h </w:instrText>
            </w:r>
            <w:r w:rsidR="003A0158">
              <w:rPr>
                <w:webHidden/>
              </w:rPr>
            </w:r>
            <w:r w:rsidR="003A0158">
              <w:rPr>
                <w:webHidden/>
              </w:rPr>
              <w:fldChar w:fldCharType="separate"/>
            </w:r>
            <w:r>
              <w:rPr>
                <w:webHidden/>
              </w:rPr>
              <w:t>3</w:t>
            </w:r>
            <w:r w:rsidR="003A0158">
              <w:rPr>
                <w:webHidden/>
              </w:rPr>
              <w:fldChar w:fldCharType="end"/>
            </w:r>
          </w:hyperlink>
        </w:p>
        <w:p w14:paraId="549AE57E" w14:textId="19E48471" w:rsidR="003A0158" w:rsidRDefault="00BF1E03">
          <w:pPr>
            <w:pStyle w:val="TOC3"/>
            <w:rPr>
              <w:rFonts w:asciiTheme="minorHAnsi" w:hAnsiTheme="minorHAnsi" w:cstheme="minorBidi"/>
              <w:sz w:val="22"/>
              <w:szCs w:val="22"/>
            </w:rPr>
          </w:pPr>
          <w:hyperlink w:anchor="_Toc137558510" w:history="1">
            <w:r w:rsidR="003A0158" w:rsidRPr="003568A7">
              <w:rPr>
                <w:rStyle w:val="Hyperlink"/>
                <w:lang w:val="en-GB"/>
              </w:rPr>
              <w:t>Private sector business entities</w:t>
            </w:r>
            <w:r w:rsidR="003A0158">
              <w:rPr>
                <w:webHidden/>
              </w:rPr>
              <w:tab/>
            </w:r>
            <w:r w:rsidR="003A0158">
              <w:rPr>
                <w:webHidden/>
              </w:rPr>
              <w:fldChar w:fldCharType="begin"/>
            </w:r>
            <w:r w:rsidR="003A0158">
              <w:rPr>
                <w:webHidden/>
              </w:rPr>
              <w:instrText xml:space="preserve"> PAGEREF _Toc137558510 \h </w:instrText>
            </w:r>
            <w:r w:rsidR="003A0158">
              <w:rPr>
                <w:webHidden/>
              </w:rPr>
            </w:r>
            <w:r w:rsidR="003A0158">
              <w:rPr>
                <w:webHidden/>
              </w:rPr>
              <w:fldChar w:fldCharType="separate"/>
            </w:r>
            <w:r>
              <w:rPr>
                <w:webHidden/>
              </w:rPr>
              <w:t>3</w:t>
            </w:r>
            <w:r w:rsidR="003A0158">
              <w:rPr>
                <w:webHidden/>
              </w:rPr>
              <w:fldChar w:fldCharType="end"/>
            </w:r>
          </w:hyperlink>
        </w:p>
        <w:p w14:paraId="5562FAA0" w14:textId="6185A291" w:rsidR="003A0158" w:rsidRDefault="00BF1E03">
          <w:pPr>
            <w:pStyle w:val="TOC3"/>
            <w:rPr>
              <w:rFonts w:asciiTheme="minorHAnsi" w:hAnsiTheme="minorHAnsi" w:cstheme="minorBidi"/>
              <w:sz w:val="22"/>
              <w:szCs w:val="22"/>
            </w:rPr>
          </w:pPr>
          <w:hyperlink w:anchor="_Toc137558511" w:history="1">
            <w:r w:rsidR="003A0158" w:rsidRPr="003568A7">
              <w:rPr>
                <w:rStyle w:val="Hyperlink"/>
                <w:lang w:val="en-GB"/>
              </w:rPr>
              <w:t>Micro, small and medium-sized enterprises</w:t>
            </w:r>
            <w:r w:rsidR="003A0158">
              <w:rPr>
                <w:webHidden/>
              </w:rPr>
              <w:tab/>
            </w:r>
            <w:r w:rsidR="003A0158">
              <w:rPr>
                <w:webHidden/>
              </w:rPr>
              <w:fldChar w:fldCharType="begin"/>
            </w:r>
            <w:r w:rsidR="003A0158">
              <w:rPr>
                <w:webHidden/>
              </w:rPr>
              <w:instrText xml:space="preserve"> PAGEREF _Toc137558511 \h </w:instrText>
            </w:r>
            <w:r w:rsidR="003A0158">
              <w:rPr>
                <w:webHidden/>
              </w:rPr>
            </w:r>
            <w:r w:rsidR="003A0158">
              <w:rPr>
                <w:webHidden/>
              </w:rPr>
              <w:fldChar w:fldCharType="separate"/>
            </w:r>
            <w:r>
              <w:rPr>
                <w:webHidden/>
              </w:rPr>
              <w:t>3</w:t>
            </w:r>
            <w:r w:rsidR="003A0158">
              <w:rPr>
                <w:webHidden/>
              </w:rPr>
              <w:fldChar w:fldCharType="end"/>
            </w:r>
          </w:hyperlink>
        </w:p>
        <w:p w14:paraId="51359C86" w14:textId="327640E2" w:rsidR="003A0158" w:rsidRDefault="00BF1E03">
          <w:pPr>
            <w:pStyle w:val="TOC3"/>
            <w:rPr>
              <w:rFonts w:asciiTheme="minorHAnsi" w:hAnsiTheme="minorHAnsi" w:cstheme="minorBidi"/>
              <w:sz w:val="22"/>
              <w:szCs w:val="22"/>
            </w:rPr>
          </w:pPr>
          <w:hyperlink w:anchor="_Toc137558512" w:history="1">
            <w:r w:rsidR="003A0158" w:rsidRPr="003568A7">
              <w:rPr>
                <w:rStyle w:val="Hyperlink"/>
                <w:lang w:val="en-GB"/>
              </w:rPr>
              <w:t>Mid-caps</w:t>
            </w:r>
            <w:r w:rsidR="003A0158">
              <w:rPr>
                <w:webHidden/>
              </w:rPr>
              <w:tab/>
            </w:r>
            <w:r w:rsidR="003A0158">
              <w:rPr>
                <w:webHidden/>
              </w:rPr>
              <w:fldChar w:fldCharType="begin"/>
            </w:r>
            <w:r w:rsidR="003A0158">
              <w:rPr>
                <w:webHidden/>
              </w:rPr>
              <w:instrText xml:space="preserve"> PAGEREF _Toc137558512 \h </w:instrText>
            </w:r>
            <w:r w:rsidR="003A0158">
              <w:rPr>
                <w:webHidden/>
              </w:rPr>
            </w:r>
            <w:r w:rsidR="003A0158">
              <w:rPr>
                <w:webHidden/>
              </w:rPr>
              <w:fldChar w:fldCharType="separate"/>
            </w:r>
            <w:r>
              <w:rPr>
                <w:webHidden/>
              </w:rPr>
              <w:t>3</w:t>
            </w:r>
            <w:r w:rsidR="003A0158">
              <w:rPr>
                <w:webHidden/>
              </w:rPr>
              <w:fldChar w:fldCharType="end"/>
            </w:r>
          </w:hyperlink>
        </w:p>
        <w:p w14:paraId="10C296B3" w14:textId="14F03B4C" w:rsidR="003A0158" w:rsidRDefault="00BF1E03">
          <w:pPr>
            <w:pStyle w:val="TOC3"/>
            <w:rPr>
              <w:rFonts w:asciiTheme="minorHAnsi" w:hAnsiTheme="minorHAnsi" w:cstheme="minorBidi"/>
              <w:sz w:val="22"/>
              <w:szCs w:val="22"/>
            </w:rPr>
          </w:pPr>
          <w:hyperlink w:anchor="_Toc137558513" w:history="1">
            <w:r w:rsidR="003A0158" w:rsidRPr="003568A7">
              <w:rPr>
                <w:rStyle w:val="Hyperlink"/>
                <w:lang w:val="en-GB"/>
              </w:rPr>
              <w:t>Large business entities</w:t>
            </w:r>
            <w:r w:rsidR="003A0158">
              <w:rPr>
                <w:webHidden/>
              </w:rPr>
              <w:tab/>
            </w:r>
            <w:r w:rsidR="003A0158">
              <w:rPr>
                <w:webHidden/>
              </w:rPr>
              <w:fldChar w:fldCharType="begin"/>
            </w:r>
            <w:r w:rsidR="003A0158">
              <w:rPr>
                <w:webHidden/>
              </w:rPr>
              <w:instrText xml:space="preserve"> PAGEREF _Toc137558513 \h </w:instrText>
            </w:r>
            <w:r w:rsidR="003A0158">
              <w:rPr>
                <w:webHidden/>
              </w:rPr>
            </w:r>
            <w:r w:rsidR="003A0158">
              <w:rPr>
                <w:webHidden/>
              </w:rPr>
              <w:fldChar w:fldCharType="separate"/>
            </w:r>
            <w:r>
              <w:rPr>
                <w:webHidden/>
              </w:rPr>
              <w:t>3</w:t>
            </w:r>
            <w:r w:rsidR="003A0158">
              <w:rPr>
                <w:webHidden/>
              </w:rPr>
              <w:fldChar w:fldCharType="end"/>
            </w:r>
          </w:hyperlink>
        </w:p>
        <w:p w14:paraId="141C1896" w14:textId="5864C048" w:rsidR="003A0158" w:rsidRDefault="00BF1E03">
          <w:pPr>
            <w:pStyle w:val="TOC3"/>
            <w:rPr>
              <w:rFonts w:asciiTheme="minorHAnsi" w:hAnsiTheme="minorHAnsi" w:cstheme="minorBidi"/>
              <w:sz w:val="22"/>
              <w:szCs w:val="22"/>
            </w:rPr>
          </w:pPr>
          <w:hyperlink w:anchor="_Toc137558514" w:history="1">
            <w:r w:rsidR="003A0158" w:rsidRPr="003568A7">
              <w:rPr>
                <w:rStyle w:val="Hyperlink"/>
                <w:lang w:val="en-GB"/>
              </w:rPr>
              <w:t>Public sector entities</w:t>
            </w:r>
            <w:r w:rsidR="003A0158">
              <w:rPr>
                <w:webHidden/>
              </w:rPr>
              <w:tab/>
            </w:r>
            <w:r w:rsidR="003A0158">
              <w:rPr>
                <w:webHidden/>
              </w:rPr>
              <w:fldChar w:fldCharType="begin"/>
            </w:r>
            <w:r w:rsidR="003A0158">
              <w:rPr>
                <w:webHidden/>
              </w:rPr>
              <w:instrText xml:space="preserve"> PAGEREF _Toc137558514 \h </w:instrText>
            </w:r>
            <w:r w:rsidR="003A0158">
              <w:rPr>
                <w:webHidden/>
              </w:rPr>
            </w:r>
            <w:r w:rsidR="003A0158">
              <w:rPr>
                <w:webHidden/>
              </w:rPr>
              <w:fldChar w:fldCharType="separate"/>
            </w:r>
            <w:r>
              <w:rPr>
                <w:webHidden/>
              </w:rPr>
              <w:t>3</w:t>
            </w:r>
            <w:r w:rsidR="003A0158">
              <w:rPr>
                <w:webHidden/>
              </w:rPr>
              <w:fldChar w:fldCharType="end"/>
            </w:r>
          </w:hyperlink>
        </w:p>
        <w:p w14:paraId="14E7F7E1" w14:textId="00E99BE1" w:rsidR="003A0158" w:rsidRDefault="00BF1E03">
          <w:pPr>
            <w:pStyle w:val="TOC2"/>
            <w:rPr>
              <w:rFonts w:asciiTheme="minorHAnsi" w:hAnsiTheme="minorHAnsi" w:cstheme="minorBidi"/>
              <w:b w:val="0"/>
              <w:bCs w:val="0"/>
              <w:sz w:val="22"/>
              <w:szCs w:val="22"/>
            </w:rPr>
          </w:pPr>
          <w:hyperlink w:anchor="_Toc137558515" w:history="1">
            <w:r w:rsidR="003A0158" w:rsidRPr="003568A7">
              <w:rPr>
                <w:rStyle w:val="Hyperlink"/>
                <w:lang w:val="en-GB"/>
              </w:rPr>
              <w:t>1.2.</w:t>
            </w:r>
            <w:r w:rsidR="003A0158">
              <w:rPr>
                <w:rFonts w:asciiTheme="minorHAnsi" w:hAnsiTheme="minorHAnsi" w:cstheme="minorBidi"/>
                <w:b w:val="0"/>
                <w:bCs w:val="0"/>
                <w:sz w:val="22"/>
                <w:szCs w:val="22"/>
              </w:rPr>
              <w:tab/>
            </w:r>
            <w:r w:rsidR="003A0158" w:rsidRPr="003568A7">
              <w:rPr>
                <w:rStyle w:val="Hyperlink"/>
                <w:lang w:val="en-GB"/>
              </w:rPr>
              <w:t>Special Target Groups</w:t>
            </w:r>
            <w:r w:rsidR="003A0158">
              <w:rPr>
                <w:webHidden/>
              </w:rPr>
              <w:tab/>
            </w:r>
            <w:r w:rsidR="003A0158">
              <w:rPr>
                <w:webHidden/>
              </w:rPr>
              <w:fldChar w:fldCharType="begin"/>
            </w:r>
            <w:r w:rsidR="003A0158">
              <w:rPr>
                <w:webHidden/>
              </w:rPr>
              <w:instrText xml:space="preserve"> PAGEREF _Toc137558515 \h </w:instrText>
            </w:r>
            <w:r w:rsidR="003A0158">
              <w:rPr>
                <w:webHidden/>
              </w:rPr>
            </w:r>
            <w:r w:rsidR="003A0158">
              <w:rPr>
                <w:webHidden/>
              </w:rPr>
              <w:fldChar w:fldCharType="separate"/>
            </w:r>
            <w:r>
              <w:rPr>
                <w:webHidden/>
              </w:rPr>
              <w:t>3</w:t>
            </w:r>
            <w:r w:rsidR="003A0158">
              <w:rPr>
                <w:webHidden/>
              </w:rPr>
              <w:fldChar w:fldCharType="end"/>
            </w:r>
          </w:hyperlink>
        </w:p>
        <w:p w14:paraId="221D2DDC" w14:textId="301E3F24" w:rsidR="003A0158" w:rsidRDefault="00BF1E03">
          <w:pPr>
            <w:pStyle w:val="TOC3"/>
            <w:rPr>
              <w:rFonts w:asciiTheme="minorHAnsi" w:hAnsiTheme="minorHAnsi" w:cstheme="minorBidi"/>
              <w:sz w:val="22"/>
              <w:szCs w:val="22"/>
            </w:rPr>
          </w:pPr>
          <w:hyperlink w:anchor="_Toc137558516" w:history="1">
            <w:r w:rsidR="003A0158" w:rsidRPr="003568A7">
              <w:rPr>
                <w:rStyle w:val="Hyperlink"/>
                <w:lang w:val="en-GB"/>
              </w:rPr>
              <w:t>Young entrepreneurs</w:t>
            </w:r>
            <w:r w:rsidR="003A0158">
              <w:rPr>
                <w:webHidden/>
              </w:rPr>
              <w:tab/>
            </w:r>
            <w:r w:rsidR="003A0158">
              <w:rPr>
                <w:webHidden/>
              </w:rPr>
              <w:fldChar w:fldCharType="begin"/>
            </w:r>
            <w:r w:rsidR="003A0158">
              <w:rPr>
                <w:webHidden/>
              </w:rPr>
              <w:instrText xml:space="preserve"> PAGEREF _Toc137558516 \h </w:instrText>
            </w:r>
            <w:r w:rsidR="003A0158">
              <w:rPr>
                <w:webHidden/>
              </w:rPr>
            </w:r>
            <w:r w:rsidR="003A0158">
              <w:rPr>
                <w:webHidden/>
              </w:rPr>
              <w:fldChar w:fldCharType="separate"/>
            </w:r>
            <w:r>
              <w:rPr>
                <w:webHidden/>
              </w:rPr>
              <w:t>3</w:t>
            </w:r>
            <w:r w:rsidR="003A0158">
              <w:rPr>
                <w:webHidden/>
              </w:rPr>
              <w:fldChar w:fldCharType="end"/>
            </w:r>
          </w:hyperlink>
        </w:p>
        <w:p w14:paraId="54751076" w14:textId="4203A498" w:rsidR="003A0158" w:rsidRDefault="00BF1E03">
          <w:pPr>
            <w:pStyle w:val="TOC3"/>
            <w:rPr>
              <w:rFonts w:asciiTheme="minorHAnsi" w:hAnsiTheme="minorHAnsi" w:cstheme="minorBidi"/>
              <w:sz w:val="22"/>
              <w:szCs w:val="22"/>
            </w:rPr>
          </w:pPr>
          <w:hyperlink w:anchor="_Toc137558517" w:history="1">
            <w:r w:rsidR="003A0158" w:rsidRPr="003568A7">
              <w:rPr>
                <w:rStyle w:val="Hyperlink"/>
                <w:lang w:val="en-GB"/>
              </w:rPr>
              <w:t>Female entrepreneurs</w:t>
            </w:r>
            <w:r w:rsidR="003A0158">
              <w:rPr>
                <w:webHidden/>
              </w:rPr>
              <w:tab/>
            </w:r>
            <w:r w:rsidR="003A0158">
              <w:rPr>
                <w:webHidden/>
              </w:rPr>
              <w:fldChar w:fldCharType="begin"/>
            </w:r>
            <w:r w:rsidR="003A0158">
              <w:rPr>
                <w:webHidden/>
              </w:rPr>
              <w:instrText xml:space="preserve"> PAGEREF _Toc137558517 \h </w:instrText>
            </w:r>
            <w:r w:rsidR="003A0158">
              <w:rPr>
                <w:webHidden/>
              </w:rPr>
            </w:r>
            <w:r w:rsidR="003A0158">
              <w:rPr>
                <w:webHidden/>
              </w:rPr>
              <w:fldChar w:fldCharType="separate"/>
            </w:r>
            <w:r>
              <w:rPr>
                <w:webHidden/>
              </w:rPr>
              <w:t>3</w:t>
            </w:r>
            <w:r w:rsidR="003A0158">
              <w:rPr>
                <w:webHidden/>
              </w:rPr>
              <w:fldChar w:fldCharType="end"/>
            </w:r>
          </w:hyperlink>
        </w:p>
        <w:p w14:paraId="2A0559E8" w14:textId="1F623E6B" w:rsidR="003A0158" w:rsidRDefault="00BF1E03">
          <w:pPr>
            <w:pStyle w:val="TOC3"/>
            <w:rPr>
              <w:rFonts w:asciiTheme="minorHAnsi" w:hAnsiTheme="minorHAnsi" w:cstheme="minorBidi"/>
              <w:sz w:val="22"/>
              <w:szCs w:val="22"/>
            </w:rPr>
          </w:pPr>
          <w:hyperlink w:anchor="_Toc137558518" w:history="1">
            <w:r w:rsidR="003A0158" w:rsidRPr="003568A7">
              <w:rPr>
                <w:rStyle w:val="Hyperlink"/>
                <w:lang w:val="en-GB"/>
              </w:rPr>
              <w:t>Start-up entrepreneurs</w:t>
            </w:r>
            <w:r w:rsidR="003A0158">
              <w:rPr>
                <w:webHidden/>
              </w:rPr>
              <w:tab/>
            </w:r>
            <w:r w:rsidR="003A0158">
              <w:rPr>
                <w:webHidden/>
              </w:rPr>
              <w:fldChar w:fldCharType="begin"/>
            </w:r>
            <w:r w:rsidR="003A0158">
              <w:rPr>
                <w:webHidden/>
              </w:rPr>
              <w:instrText xml:space="preserve"> PAGEREF _Toc137558518 \h </w:instrText>
            </w:r>
            <w:r w:rsidR="003A0158">
              <w:rPr>
                <w:webHidden/>
              </w:rPr>
            </w:r>
            <w:r w:rsidR="003A0158">
              <w:rPr>
                <w:webHidden/>
              </w:rPr>
              <w:fldChar w:fldCharType="separate"/>
            </w:r>
            <w:r>
              <w:rPr>
                <w:webHidden/>
              </w:rPr>
              <w:t>4</w:t>
            </w:r>
            <w:r w:rsidR="003A0158">
              <w:rPr>
                <w:webHidden/>
              </w:rPr>
              <w:fldChar w:fldCharType="end"/>
            </w:r>
          </w:hyperlink>
        </w:p>
        <w:p w14:paraId="2A56E75C" w14:textId="2985BD89" w:rsidR="003A0158" w:rsidRDefault="00BF1E03">
          <w:pPr>
            <w:pStyle w:val="TOC3"/>
            <w:rPr>
              <w:rFonts w:asciiTheme="minorHAnsi" w:hAnsiTheme="minorHAnsi" w:cstheme="minorBidi"/>
              <w:sz w:val="22"/>
              <w:szCs w:val="22"/>
            </w:rPr>
          </w:pPr>
          <w:hyperlink w:anchor="_Toc137558519" w:history="1">
            <w:r w:rsidR="003A0158" w:rsidRPr="003568A7">
              <w:rPr>
                <w:rStyle w:val="Hyperlink"/>
                <w:lang w:val="en-GB"/>
              </w:rPr>
              <w:t>Market competitive business entities</w:t>
            </w:r>
            <w:r w:rsidR="003A0158">
              <w:rPr>
                <w:webHidden/>
              </w:rPr>
              <w:tab/>
            </w:r>
            <w:r w:rsidR="003A0158">
              <w:rPr>
                <w:webHidden/>
              </w:rPr>
              <w:fldChar w:fldCharType="begin"/>
            </w:r>
            <w:r w:rsidR="003A0158">
              <w:rPr>
                <w:webHidden/>
              </w:rPr>
              <w:instrText xml:space="preserve"> PAGEREF _Toc137558519 \h </w:instrText>
            </w:r>
            <w:r w:rsidR="003A0158">
              <w:rPr>
                <w:webHidden/>
              </w:rPr>
            </w:r>
            <w:r w:rsidR="003A0158">
              <w:rPr>
                <w:webHidden/>
              </w:rPr>
              <w:fldChar w:fldCharType="separate"/>
            </w:r>
            <w:r>
              <w:rPr>
                <w:webHidden/>
              </w:rPr>
              <w:t>4</w:t>
            </w:r>
            <w:r w:rsidR="003A0158">
              <w:rPr>
                <w:webHidden/>
              </w:rPr>
              <w:fldChar w:fldCharType="end"/>
            </w:r>
          </w:hyperlink>
        </w:p>
        <w:p w14:paraId="62F6723C" w14:textId="42746885" w:rsidR="003A0158" w:rsidRDefault="00BF1E03">
          <w:pPr>
            <w:pStyle w:val="TOC2"/>
            <w:rPr>
              <w:rFonts w:asciiTheme="minorHAnsi" w:hAnsiTheme="minorHAnsi" w:cstheme="minorBidi"/>
              <w:b w:val="0"/>
              <w:bCs w:val="0"/>
              <w:sz w:val="22"/>
              <w:szCs w:val="22"/>
            </w:rPr>
          </w:pPr>
          <w:hyperlink w:anchor="_Toc137558520" w:history="1">
            <w:r w:rsidR="003A0158" w:rsidRPr="003568A7">
              <w:rPr>
                <w:rStyle w:val="Hyperlink"/>
                <w:lang w:val="en-GB"/>
              </w:rPr>
              <w:t>1.3.</w:t>
            </w:r>
            <w:r w:rsidR="003A0158">
              <w:rPr>
                <w:rFonts w:asciiTheme="minorHAnsi" w:hAnsiTheme="minorHAnsi" w:cstheme="minorBidi"/>
                <w:b w:val="0"/>
                <w:bCs w:val="0"/>
                <w:sz w:val="22"/>
                <w:szCs w:val="22"/>
              </w:rPr>
              <w:tab/>
            </w:r>
            <w:r w:rsidR="003A0158" w:rsidRPr="003568A7">
              <w:rPr>
                <w:rStyle w:val="Hyperlink"/>
                <w:lang w:val="en-GB"/>
              </w:rPr>
              <w:t>Ineligible Borrowers and Restrictions</w:t>
            </w:r>
            <w:r w:rsidR="003A0158">
              <w:rPr>
                <w:webHidden/>
              </w:rPr>
              <w:tab/>
            </w:r>
            <w:r w:rsidR="003A0158">
              <w:rPr>
                <w:webHidden/>
              </w:rPr>
              <w:fldChar w:fldCharType="begin"/>
            </w:r>
            <w:r w:rsidR="003A0158">
              <w:rPr>
                <w:webHidden/>
              </w:rPr>
              <w:instrText xml:space="preserve"> PAGEREF _Toc137558520 \h </w:instrText>
            </w:r>
            <w:r w:rsidR="003A0158">
              <w:rPr>
                <w:webHidden/>
              </w:rPr>
            </w:r>
            <w:r w:rsidR="003A0158">
              <w:rPr>
                <w:webHidden/>
              </w:rPr>
              <w:fldChar w:fldCharType="separate"/>
            </w:r>
            <w:r>
              <w:rPr>
                <w:webHidden/>
              </w:rPr>
              <w:t>4</w:t>
            </w:r>
            <w:r w:rsidR="003A0158">
              <w:rPr>
                <w:webHidden/>
              </w:rPr>
              <w:fldChar w:fldCharType="end"/>
            </w:r>
          </w:hyperlink>
        </w:p>
        <w:p w14:paraId="23896262" w14:textId="08637105" w:rsidR="003A0158" w:rsidRDefault="00BF1E03">
          <w:pPr>
            <w:pStyle w:val="TOC3"/>
            <w:rPr>
              <w:rFonts w:asciiTheme="minorHAnsi" w:hAnsiTheme="minorHAnsi" w:cstheme="minorBidi"/>
              <w:sz w:val="22"/>
              <w:szCs w:val="22"/>
            </w:rPr>
          </w:pPr>
          <w:hyperlink w:anchor="_Toc137558521" w:history="1">
            <w:r w:rsidR="003A0158" w:rsidRPr="003568A7">
              <w:rPr>
                <w:rStyle w:val="Hyperlink"/>
                <w:lang w:val="en-GB"/>
              </w:rPr>
              <w:t>Entrepreneurs in difficulties</w:t>
            </w:r>
            <w:r w:rsidR="003A0158">
              <w:rPr>
                <w:webHidden/>
              </w:rPr>
              <w:tab/>
            </w:r>
            <w:r w:rsidR="003A0158">
              <w:rPr>
                <w:webHidden/>
              </w:rPr>
              <w:fldChar w:fldCharType="begin"/>
            </w:r>
            <w:r w:rsidR="003A0158">
              <w:rPr>
                <w:webHidden/>
              </w:rPr>
              <w:instrText xml:space="preserve"> PAGEREF _Toc137558521 \h </w:instrText>
            </w:r>
            <w:r w:rsidR="003A0158">
              <w:rPr>
                <w:webHidden/>
              </w:rPr>
            </w:r>
            <w:r w:rsidR="003A0158">
              <w:rPr>
                <w:webHidden/>
              </w:rPr>
              <w:fldChar w:fldCharType="separate"/>
            </w:r>
            <w:r>
              <w:rPr>
                <w:webHidden/>
              </w:rPr>
              <w:t>4</w:t>
            </w:r>
            <w:r w:rsidR="003A0158">
              <w:rPr>
                <w:webHidden/>
              </w:rPr>
              <w:fldChar w:fldCharType="end"/>
            </w:r>
          </w:hyperlink>
        </w:p>
        <w:p w14:paraId="6890035E" w14:textId="3D489206" w:rsidR="003A0158" w:rsidRDefault="00BF1E03">
          <w:pPr>
            <w:pStyle w:val="TOC3"/>
            <w:rPr>
              <w:rFonts w:asciiTheme="minorHAnsi" w:hAnsiTheme="minorHAnsi" w:cstheme="minorBidi"/>
              <w:sz w:val="22"/>
              <w:szCs w:val="22"/>
            </w:rPr>
          </w:pPr>
          <w:hyperlink w:anchor="_Toc137558522" w:history="1">
            <w:r w:rsidR="003A0158" w:rsidRPr="003568A7">
              <w:rPr>
                <w:rStyle w:val="Hyperlink"/>
                <w:lang w:val="en-GB"/>
              </w:rPr>
              <w:t>Business entities in which ownership interests are held by entities subject to the Act on Preventing Conflict of Interest and their family members</w:t>
            </w:r>
            <w:r w:rsidR="003A0158">
              <w:rPr>
                <w:webHidden/>
              </w:rPr>
              <w:tab/>
            </w:r>
            <w:r w:rsidR="003A0158">
              <w:rPr>
                <w:webHidden/>
              </w:rPr>
              <w:fldChar w:fldCharType="begin"/>
            </w:r>
            <w:r w:rsidR="003A0158">
              <w:rPr>
                <w:webHidden/>
              </w:rPr>
              <w:instrText xml:space="preserve"> PAGEREF _Toc137558522 \h </w:instrText>
            </w:r>
            <w:r w:rsidR="003A0158">
              <w:rPr>
                <w:webHidden/>
              </w:rPr>
            </w:r>
            <w:r w:rsidR="003A0158">
              <w:rPr>
                <w:webHidden/>
              </w:rPr>
              <w:fldChar w:fldCharType="separate"/>
            </w:r>
            <w:r>
              <w:rPr>
                <w:webHidden/>
              </w:rPr>
              <w:t>4</w:t>
            </w:r>
            <w:r w:rsidR="003A0158">
              <w:rPr>
                <w:webHidden/>
              </w:rPr>
              <w:fldChar w:fldCharType="end"/>
            </w:r>
          </w:hyperlink>
        </w:p>
        <w:p w14:paraId="77DE2F12" w14:textId="16D2D034" w:rsidR="003A0158" w:rsidRDefault="00BF1E03">
          <w:pPr>
            <w:pStyle w:val="TOC3"/>
            <w:rPr>
              <w:rFonts w:asciiTheme="minorHAnsi" w:hAnsiTheme="minorHAnsi" w:cstheme="minorBidi"/>
              <w:sz w:val="22"/>
              <w:szCs w:val="22"/>
            </w:rPr>
          </w:pPr>
          <w:hyperlink w:anchor="_Toc137558523" w:history="1">
            <w:r w:rsidR="003A0158" w:rsidRPr="003568A7">
              <w:rPr>
                <w:rStyle w:val="Hyperlink"/>
                <w:lang w:val="en-GB"/>
              </w:rPr>
              <w:t>Exclusion criteria in accordance with the Reputational Risk Management Ordinance</w:t>
            </w:r>
            <w:r w:rsidR="003A0158">
              <w:rPr>
                <w:webHidden/>
              </w:rPr>
              <w:tab/>
            </w:r>
            <w:r w:rsidR="003A0158">
              <w:rPr>
                <w:webHidden/>
              </w:rPr>
              <w:fldChar w:fldCharType="begin"/>
            </w:r>
            <w:r w:rsidR="003A0158">
              <w:rPr>
                <w:webHidden/>
              </w:rPr>
              <w:instrText xml:space="preserve"> PAGEREF _Toc137558523 \h </w:instrText>
            </w:r>
            <w:r w:rsidR="003A0158">
              <w:rPr>
                <w:webHidden/>
              </w:rPr>
            </w:r>
            <w:r w:rsidR="003A0158">
              <w:rPr>
                <w:webHidden/>
              </w:rPr>
              <w:fldChar w:fldCharType="separate"/>
            </w:r>
            <w:r>
              <w:rPr>
                <w:webHidden/>
              </w:rPr>
              <w:t>5</w:t>
            </w:r>
            <w:r w:rsidR="003A0158">
              <w:rPr>
                <w:webHidden/>
              </w:rPr>
              <w:fldChar w:fldCharType="end"/>
            </w:r>
          </w:hyperlink>
        </w:p>
        <w:p w14:paraId="21C0C465" w14:textId="3A6488AF" w:rsidR="003A0158" w:rsidRDefault="00BF1E03">
          <w:pPr>
            <w:pStyle w:val="TOC1"/>
            <w:rPr>
              <w:rFonts w:asciiTheme="minorHAnsi" w:hAnsiTheme="minorHAnsi" w:cstheme="minorBidi"/>
              <w:b w:val="0"/>
              <w:sz w:val="22"/>
              <w:szCs w:val="22"/>
            </w:rPr>
          </w:pPr>
          <w:hyperlink w:anchor="_Toc137558524" w:history="1">
            <w:r w:rsidR="003A0158" w:rsidRPr="003568A7">
              <w:rPr>
                <w:rStyle w:val="Hyperlink"/>
                <w:lang w:val="en-GB"/>
              </w:rPr>
              <w:t>2.</w:t>
            </w:r>
            <w:r w:rsidR="003A0158">
              <w:rPr>
                <w:rFonts w:asciiTheme="minorHAnsi" w:hAnsiTheme="minorHAnsi" w:cstheme="minorBidi"/>
                <w:b w:val="0"/>
                <w:sz w:val="22"/>
                <w:szCs w:val="22"/>
              </w:rPr>
              <w:tab/>
            </w:r>
            <w:r w:rsidR="003A0158" w:rsidRPr="003568A7">
              <w:rPr>
                <w:rStyle w:val="Hyperlink"/>
                <w:lang w:val="en-GB"/>
              </w:rPr>
              <w:t>Special Areas of the Republic of Croatia</w:t>
            </w:r>
            <w:r w:rsidR="003A0158">
              <w:rPr>
                <w:webHidden/>
              </w:rPr>
              <w:tab/>
            </w:r>
            <w:r w:rsidR="003A0158">
              <w:rPr>
                <w:webHidden/>
              </w:rPr>
              <w:fldChar w:fldCharType="begin"/>
            </w:r>
            <w:r w:rsidR="003A0158">
              <w:rPr>
                <w:webHidden/>
              </w:rPr>
              <w:instrText xml:space="preserve"> PAGEREF _Toc137558524 \h </w:instrText>
            </w:r>
            <w:r w:rsidR="003A0158">
              <w:rPr>
                <w:webHidden/>
              </w:rPr>
            </w:r>
            <w:r w:rsidR="003A0158">
              <w:rPr>
                <w:webHidden/>
              </w:rPr>
              <w:fldChar w:fldCharType="separate"/>
            </w:r>
            <w:r>
              <w:rPr>
                <w:webHidden/>
              </w:rPr>
              <w:t>5</w:t>
            </w:r>
            <w:r w:rsidR="003A0158">
              <w:rPr>
                <w:webHidden/>
              </w:rPr>
              <w:fldChar w:fldCharType="end"/>
            </w:r>
          </w:hyperlink>
        </w:p>
        <w:p w14:paraId="7B3B1E18" w14:textId="4E88A267" w:rsidR="003A0158" w:rsidRDefault="00BF1E03">
          <w:pPr>
            <w:pStyle w:val="TOC3"/>
            <w:rPr>
              <w:rFonts w:asciiTheme="minorHAnsi" w:hAnsiTheme="minorHAnsi" w:cstheme="minorBidi"/>
              <w:sz w:val="22"/>
              <w:szCs w:val="22"/>
            </w:rPr>
          </w:pPr>
          <w:hyperlink w:anchor="_Toc137558525" w:history="1">
            <w:r w:rsidR="003A0158" w:rsidRPr="003568A7">
              <w:rPr>
                <w:rStyle w:val="Hyperlink"/>
                <w:lang w:val="en-GB"/>
              </w:rPr>
              <w:t>Supported areas</w:t>
            </w:r>
            <w:r w:rsidR="003A0158">
              <w:rPr>
                <w:webHidden/>
              </w:rPr>
              <w:tab/>
            </w:r>
            <w:r w:rsidR="003A0158">
              <w:rPr>
                <w:webHidden/>
              </w:rPr>
              <w:fldChar w:fldCharType="begin"/>
            </w:r>
            <w:r w:rsidR="003A0158">
              <w:rPr>
                <w:webHidden/>
              </w:rPr>
              <w:instrText xml:space="preserve"> PAGEREF _Toc137558525 \h </w:instrText>
            </w:r>
            <w:r w:rsidR="003A0158">
              <w:rPr>
                <w:webHidden/>
              </w:rPr>
            </w:r>
            <w:r w:rsidR="003A0158">
              <w:rPr>
                <w:webHidden/>
              </w:rPr>
              <w:fldChar w:fldCharType="separate"/>
            </w:r>
            <w:r>
              <w:rPr>
                <w:webHidden/>
              </w:rPr>
              <w:t>5</w:t>
            </w:r>
            <w:r w:rsidR="003A0158">
              <w:rPr>
                <w:webHidden/>
              </w:rPr>
              <w:fldChar w:fldCharType="end"/>
            </w:r>
          </w:hyperlink>
        </w:p>
        <w:p w14:paraId="25FE82E5" w14:textId="100E55E4" w:rsidR="003A0158" w:rsidRDefault="00BF1E03">
          <w:pPr>
            <w:pStyle w:val="TOC3"/>
            <w:rPr>
              <w:rFonts w:asciiTheme="minorHAnsi" w:hAnsiTheme="minorHAnsi" w:cstheme="minorBidi"/>
              <w:sz w:val="22"/>
              <w:szCs w:val="22"/>
            </w:rPr>
          </w:pPr>
          <w:hyperlink w:anchor="_Toc137558526" w:history="1">
            <w:r w:rsidR="003A0158" w:rsidRPr="003568A7">
              <w:rPr>
                <w:rStyle w:val="Hyperlink"/>
                <w:lang w:val="en-GB"/>
              </w:rPr>
              <w:t>Hill or mountain areas</w:t>
            </w:r>
            <w:r w:rsidR="003A0158">
              <w:rPr>
                <w:webHidden/>
              </w:rPr>
              <w:tab/>
            </w:r>
            <w:r w:rsidR="003A0158">
              <w:rPr>
                <w:webHidden/>
              </w:rPr>
              <w:fldChar w:fldCharType="begin"/>
            </w:r>
            <w:r w:rsidR="003A0158">
              <w:rPr>
                <w:webHidden/>
              </w:rPr>
              <w:instrText xml:space="preserve"> PAGEREF _Toc137558526 \h </w:instrText>
            </w:r>
            <w:r w:rsidR="003A0158">
              <w:rPr>
                <w:webHidden/>
              </w:rPr>
            </w:r>
            <w:r w:rsidR="003A0158">
              <w:rPr>
                <w:webHidden/>
              </w:rPr>
              <w:fldChar w:fldCharType="separate"/>
            </w:r>
            <w:r>
              <w:rPr>
                <w:webHidden/>
              </w:rPr>
              <w:t>5</w:t>
            </w:r>
            <w:r w:rsidR="003A0158">
              <w:rPr>
                <w:webHidden/>
              </w:rPr>
              <w:fldChar w:fldCharType="end"/>
            </w:r>
          </w:hyperlink>
        </w:p>
        <w:p w14:paraId="2FF04E8E" w14:textId="0B935F52" w:rsidR="003A0158" w:rsidRDefault="00BF1E03">
          <w:pPr>
            <w:pStyle w:val="TOC3"/>
            <w:rPr>
              <w:rFonts w:asciiTheme="minorHAnsi" w:hAnsiTheme="minorHAnsi" w:cstheme="minorBidi"/>
              <w:sz w:val="22"/>
              <w:szCs w:val="22"/>
            </w:rPr>
          </w:pPr>
          <w:hyperlink w:anchor="_Toc137558527" w:history="1">
            <w:r w:rsidR="003A0158" w:rsidRPr="003568A7">
              <w:rPr>
                <w:rStyle w:val="Hyperlink"/>
                <w:lang w:val="en-GB"/>
              </w:rPr>
              <w:t>The islands</w:t>
            </w:r>
            <w:r w:rsidR="003A0158">
              <w:rPr>
                <w:webHidden/>
              </w:rPr>
              <w:tab/>
            </w:r>
            <w:r w:rsidR="003A0158">
              <w:rPr>
                <w:webHidden/>
              </w:rPr>
              <w:fldChar w:fldCharType="begin"/>
            </w:r>
            <w:r w:rsidR="003A0158">
              <w:rPr>
                <w:webHidden/>
              </w:rPr>
              <w:instrText xml:space="preserve"> PAGEREF _Toc137558527 \h </w:instrText>
            </w:r>
            <w:r w:rsidR="003A0158">
              <w:rPr>
                <w:webHidden/>
              </w:rPr>
            </w:r>
            <w:r w:rsidR="003A0158">
              <w:rPr>
                <w:webHidden/>
              </w:rPr>
              <w:fldChar w:fldCharType="separate"/>
            </w:r>
            <w:r>
              <w:rPr>
                <w:webHidden/>
              </w:rPr>
              <w:t>5</w:t>
            </w:r>
            <w:r w:rsidR="003A0158">
              <w:rPr>
                <w:webHidden/>
              </w:rPr>
              <w:fldChar w:fldCharType="end"/>
            </w:r>
          </w:hyperlink>
        </w:p>
        <w:p w14:paraId="31025C61" w14:textId="6F12B10B" w:rsidR="003A0158" w:rsidRDefault="00BF1E03">
          <w:pPr>
            <w:pStyle w:val="TOC1"/>
            <w:rPr>
              <w:rFonts w:asciiTheme="minorHAnsi" w:hAnsiTheme="minorHAnsi" w:cstheme="minorBidi"/>
              <w:b w:val="0"/>
              <w:sz w:val="22"/>
              <w:szCs w:val="22"/>
            </w:rPr>
          </w:pPr>
          <w:hyperlink w:anchor="_Toc137558528" w:history="1">
            <w:r w:rsidR="003A0158" w:rsidRPr="003568A7">
              <w:rPr>
                <w:rStyle w:val="Hyperlink"/>
                <w:lang w:val="en-GB"/>
              </w:rPr>
              <w:t>3.</w:t>
            </w:r>
            <w:r w:rsidR="003A0158">
              <w:rPr>
                <w:rFonts w:asciiTheme="minorHAnsi" w:hAnsiTheme="minorHAnsi" w:cstheme="minorBidi"/>
                <w:b w:val="0"/>
                <w:sz w:val="22"/>
                <w:szCs w:val="22"/>
              </w:rPr>
              <w:tab/>
            </w:r>
            <w:r w:rsidR="003A0158" w:rsidRPr="003568A7">
              <w:rPr>
                <w:rStyle w:val="Hyperlink"/>
                <w:lang w:val="en-GB"/>
              </w:rPr>
              <w:t>Activities of Special Interest</w:t>
            </w:r>
            <w:r w:rsidR="003A0158">
              <w:rPr>
                <w:webHidden/>
              </w:rPr>
              <w:tab/>
            </w:r>
            <w:r w:rsidR="003A0158">
              <w:rPr>
                <w:webHidden/>
              </w:rPr>
              <w:fldChar w:fldCharType="begin"/>
            </w:r>
            <w:r w:rsidR="003A0158">
              <w:rPr>
                <w:webHidden/>
              </w:rPr>
              <w:instrText xml:space="preserve"> PAGEREF _Toc137558528 \h </w:instrText>
            </w:r>
            <w:r w:rsidR="003A0158">
              <w:rPr>
                <w:webHidden/>
              </w:rPr>
            </w:r>
            <w:r w:rsidR="003A0158">
              <w:rPr>
                <w:webHidden/>
              </w:rPr>
              <w:fldChar w:fldCharType="separate"/>
            </w:r>
            <w:r>
              <w:rPr>
                <w:webHidden/>
              </w:rPr>
              <w:t>5</w:t>
            </w:r>
            <w:r w:rsidR="003A0158">
              <w:rPr>
                <w:webHidden/>
              </w:rPr>
              <w:fldChar w:fldCharType="end"/>
            </w:r>
          </w:hyperlink>
        </w:p>
        <w:p w14:paraId="429EB0F5" w14:textId="2B0ED82D" w:rsidR="003A0158" w:rsidRDefault="00BF1E03">
          <w:pPr>
            <w:pStyle w:val="TOC1"/>
            <w:rPr>
              <w:rFonts w:asciiTheme="minorHAnsi" w:hAnsiTheme="minorHAnsi" w:cstheme="minorBidi"/>
              <w:b w:val="0"/>
              <w:sz w:val="22"/>
              <w:szCs w:val="22"/>
            </w:rPr>
          </w:pPr>
          <w:hyperlink w:anchor="_Toc137558529" w:history="1">
            <w:r w:rsidR="003A0158" w:rsidRPr="003568A7">
              <w:rPr>
                <w:rStyle w:val="Hyperlink"/>
                <w:lang w:val="en-GB"/>
              </w:rPr>
              <w:t>4.</w:t>
            </w:r>
            <w:r w:rsidR="003A0158">
              <w:rPr>
                <w:rFonts w:asciiTheme="minorHAnsi" w:hAnsiTheme="minorHAnsi" w:cstheme="minorBidi"/>
                <w:b w:val="0"/>
                <w:sz w:val="22"/>
                <w:szCs w:val="22"/>
              </w:rPr>
              <w:tab/>
            </w:r>
            <w:r w:rsidR="003A0158" w:rsidRPr="003568A7">
              <w:rPr>
                <w:rStyle w:val="Hyperlink"/>
                <w:lang w:val="en-GB"/>
              </w:rPr>
              <w:t>Special Types of Investment</w:t>
            </w:r>
            <w:r w:rsidR="003A0158">
              <w:rPr>
                <w:webHidden/>
              </w:rPr>
              <w:tab/>
            </w:r>
            <w:r w:rsidR="003A0158">
              <w:rPr>
                <w:webHidden/>
              </w:rPr>
              <w:fldChar w:fldCharType="begin"/>
            </w:r>
            <w:r w:rsidR="003A0158">
              <w:rPr>
                <w:webHidden/>
              </w:rPr>
              <w:instrText xml:space="preserve"> PAGEREF _Toc137558529 \h </w:instrText>
            </w:r>
            <w:r w:rsidR="003A0158">
              <w:rPr>
                <w:webHidden/>
              </w:rPr>
            </w:r>
            <w:r w:rsidR="003A0158">
              <w:rPr>
                <w:webHidden/>
              </w:rPr>
              <w:fldChar w:fldCharType="separate"/>
            </w:r>
            <w:r>
              <w:rPr>
                <w:webHidden/>
              </w:rPr>
              <w:t>6</w:t>
            </w:r>
            <w:r w:rsidR="003A0158">
              <w:rPr>
                <w:webHidden/>
              </w:rPr>
              <w:fldChar w:fldCharType="end"/>
            </w:r>
          </w:hyperlink>
        </w:p>
        <w:p w14:paraId="5CF777ED" w14:textId="43161350" w:rsidR="003A0158" w:rsidRDefault="00BF1E03">
          <w:pPr>
            <w:pStyle w:val="TOC3"/>
            <w:rPr>
              <w:rFonts w:asciiTheme="minorHAnsi" w:hAnsiTheme="minorHAnsi" w:cstheme="minorBidi"/>
              <w:sz w:val="22"/>
              <w:szCs w:val="22"/>
            </w:rPr>
          </w:pPr>
          <w:hyperlink w:anchor="_Toc137558530" w:history="1">
            <w:r w:rsidR="003A0158" w:rsidRPr="003568A7">
              <w:rPr>
                <w:rStyle w:val="Hyperlink"/>
                <w:lang w:val="en-GB"/>
              </w:rPr>
              <w:t>Green transition</w:t>
            </w:r>
            <w:r w:rsidR="003A0158">
              <w:rPr>
                <w:webHidden/>
              </w:rPr>
              <w:tab/>
            </w:r>
            <w:r w:rsidR="003A0158">
              <w:rPr>
                <w:webHidden/>
              </w:rPr>
              <w:fldChar w:fldCharType="begin"/>
            </w:r>
            <w:r w:rsidR="003A0158">
              <w:rPr>
                <w:webHidden/>
              </w:rPr>
              <w:instrText xml:space="preserve"> PAGEREF _Toc137558530 \h </w:instrText>
            </w:r>
            <w:r w:rsidR="003A0158">
              <w:rPr>
                <w:webHidden/>
              </w:rPr>
            </w:r>
            <w:r w:rsidR="003A0158">
              <w:rPr>
                <w:webHidden/>
              </w:rPr>
              <w:fldChar w:fldCharType="separate"/>
            </w:r>
            <w:r>
              <w:rPr>
                <w:webHidden/>
              </w:rPr>
              <w:t>6</w:t>
            </w:r>
            <w:r w:rsidR="003A0158">
              <w:rPr>
                <w:webHidden/>
              </w:rPr>
              <w:fldChar w:fldCharType="end"/>
            </w:r>
          </w:hyperlink>
        </w:p>
        <w:p w14:paraId="1CC09F88" w14:textId="46D3E9EB" w:rsidR="003A0158" w:rsidRDefault="00BF1E03">
          <w:pPr>
            <w:pStyle w:val="TOC3"/>
            <w:rPr>
              <w:rFonts w:asciiTheme="minorHAnsi" w:hAnsiTheme="minorHAnsi" w:cstheme="minorBidi"/>
              <w:sz w:val="22"/>
              <w:szCs w:val="22"/>
            </w:rPr>
          </w:pPr>
          <w:hyperlink w:anchor="_Toc137558531" w:history="1">
            <w:r w:rsidR="003A0158" w:rsidRPr="003568A7">
              <w:rPr>
                <w:rStyle w:val="Hyperlink"/>
                <w:lang w:val="en-GB"/>
              </w:rPr>
              <w:t>Digitalisation (digital transition)</w:t>
            </w:r>
            <w:r w:rsidR="003A0158">
              <w:rPr>
                <w:webHidden/>
              </w:rPr>
              <w:tab/>
            </w:r>
            <w:r w:rsidR="003A0158">
              <w:rPr>
                <w:webHidden/>
              </w:rPr>
              <w:fldChar w:fldCharType="begin"/>
            </w:r>
            <w:r w:rsidR="003A0158">
              <w:rPr>
                <w:webHidden/>
              </w:rPr>
              <w:instrText xml:space="preserve"> PAGEREF _Toc137558531 \h </w:instrText>
            </w:r>
            <w:r w:rsidR="003A0158">
              <w:rPr>
                <w:webHidden/>
              </w:rPr>
            </w:r>
            <w:r w:rsidR="003A0158">
              <w:rPr>
                <w:webHidden/>
              </w:rPr>
              <w:fldChar w:fldCharType="separate"/>
            </w:r>
            <w:r>
              <w:rPr>
                <w:webHidden/>
              </w:rPr>
              <w:t>6</w:t>
            </w:r>
            <w:r w:rsidR="003A0158">
              <w:rPr>
                <w:webHidden/>
              </w:rPr>
              <w:fldChar w:fldCharType="end"/>
            </w:r>
          </w:hyperlink>
        </w:p>
        <w:p w14:paraId="24B4F57B" w14:textId="06AB6DF2" w:rsidR="003A0158" w:rsidRDefault="00BF1E03">
          <w:pPr>
            <w:pStyle w:val="TOC3"/>
            <w:rPr>
              <w:rFonts w:asciiTheme="minorHAnsi" w:hAnsiTheme="minorHAnsi" w:cstheme="minorBidi"/>
              <w:sz w:val="22"/>
              <w:szCs w:val="22"/>
            </w:rPr>
          </w:pPr>
          <w:hyperlink w:anchor="_Toc137558532" w:history="1">
            <w:r w:rsidR="003A0158" w:rsidRPr="003568A7">
              <w:rPr>
                <w:rStyle w:val="Hyperlink"/>
                <w:lang w:val="en-GB"/>
              </w:rPr>
              <w:t>Research, development and innovation - RDI</w:t>
            </w:r>
            <w:r w:rsidR="003A0158">
              <w:rPr>
                <w:webHidden/>
              </w:rPr>
              <w:tab/>
            </w:r>
            <w:r w:rsidR="003A0158">
              <w:rPr>
                <w:webHidden/>
              </w:rPr>
              <w:fldChar w:fldCharType="begin"/>
            </w:r>
            <w:r w:rsidR="003A0158">
              <w:rPr>
                <w:webHidden/>
              </w:rPr>
              <w:instrText xml:space="preserve"> PAGEREF _Toc137558532 \h </w:instrText>
            </w:r>
            <w:r w:rsidR="003A0158">
              <w:rPr>
                <w:webHidden/>
              </w:rPr>
            </w:r>
            <w:r w:rsidR="003A0158">
              <w:rPr>
                <w:webHidden/>
              </w:rPr>
              <w:fldChar w:fldCharType="separate"/>
            </w:r>
            <w:r>
              <w:rPr>
                <w:webHidden/>
              </w:rPr>
              <w:t>6</w:t>
            </w:r>
            <w:r w:rsidR="003A0158">
              <w:rPr>
                <w:webHidden/>
              </w:rPr>
              <w:fldChar w:fldCharType="end"/>
            </w:r>
          </w:hyperlink>
        </w:p>
        <w:p w14:paraId="4D3A37B0" w14:textId="5F3F6265" w:rsidR="003A0158" w:rsidRDefault="00BF1E03">
          <w:pPr>
            <w:pStyle w:val="TOC3"/>
            <w:rPr>
              <w:rFonts w:asciiTheme="minorHAnsi" w:hAnsiTheme="minorHAnsi" w:cstheme="minorBidi"/>
              <w:sz w:val="22"/>
              <w:szCs w:val="22"/>
            </w:rPr>
          </w:pPr>
          <w:hyperlink w:anchor="_Toc137558533" w:history="1">
            <w:r w:rsidR="003A0158" w:rsidRPr="003568A7">
              <w:rPr>
                <w:rStyle w:val="Hyperlink"/>
                <w:lang w:val="en-GB"/>
              </w:rPr>
              <w:t>Investments aimed at rehabilitation from the consequences of earthquakes</w:t>
            </w:r>
            <w:r w:rsidR="003A0158">
              <w:rPr>
                <w:webHidden/>
              </w:rPr>
              <w:tab/>
            </w:r>
            <w:r w:rsidR="003A0158">
              <w:rPr>
                <w:webHidden/>
              </w:rPr>
              <w:fldChar w:fldCharType="begin"/>
            </w:r>
            <w:r w:rsidR="003A0158">
              <w:rPr>
                <w:webHidden/>
              </w:rPr>
              <w:instrText xml:space="preserve"> PAGEREF _Toc137558533 \h </w:instrText>
            </w:r>
            <w:r w:rsidR="003A0158">
              <w:rPr>
                <w:webHidden/>
              </w:rPr>
            </w:r>
            <w:r w:rsidR="003A0158">
              <w:rPr>
                <w:webHidden/>
              </w:rPr>
              <w:fldChar w:fldCharType="separate"/>
            </w:r>
            <w:r>
              <w:rPr>
                <w:webHidden/>
              </w:rPr>
              <w:t>7</w:t>
            </w:r>
            <w:r w:rsidR="003A0158">
              <w:rPr>
                <w:webHidden/>
              </w:rPr>
              <w:fldChar w:fldCharType="end"/>
            </w:r>
          </w:hyperlink>
        </w:p>
        <w:p w14:paraId="4D774A21" w14:textId="518086A9" w:rsidR="003A0158" w:rsidRDefault="00BF1E03">
          <w:pPr>
            <w:pStyle w:val="TOC3"/>
            <w:rPr>
              <w:rFonts w:asciiTheme="minorHAnsi" w:hAnsiTheme="minorHAnsi" w:cstheme="minorBidi"/>
              <w:sz w:val="22"/>
              <w:szCs w:val="22"/>
            </w:rPr>
          </w:pPr>
          <w:hyperlink w:anchor="_Toc137558534" w:history="1">
            <w:r w:rsidR="003A0158" w:rsidRPr="003568A7">
              <w:rPr>
                <w:rStyle w:val="Hyperlink"/>
                <w:lang w:val="en-GB"/>
              </w:rPr>
              <w:t>Social infrastructure and/or investments aimed at reducing negative demographic trends</w:t>
            </w:r>
            <w:r w:rsidR="003A0158">
              <w:rPr>
                <w:webHidden/>
              </w:rPr>
              <w:tab/>
            </w:r>
            <w:r w:rsidR="003A0158">
              <w:rPr>
                <w:webHidden/>
              </w:rPr>
              <w:fldChar w:fldCharType="begin"/>
            </w:r>
            <w:r w:rsidR="003A0158">
              <w:rPr>
                <w:webHidden/>
              </w:rPr>
              <w:instrText xml:space="preserve"> PAGEREF _Toc137558534 \h </w:instrText>
            </w:r>
            <w:r w:rsidR="003A0158">
              <w:rPr>
                <w:webHidden/>
              </w:rPr>
            </w:r>
            <w:r w:rsidR="003A0158">
              <w:rPr>
                <w:webHidden/>
              </w:rPr>
              <w:fldChar w:fldCharType="separate"/>
            </w:r>
            <w:r>
              <w:rPr>
                <w:webHidden/>
              </w:rPr>
              <w:t>7</w:t>
            </w:r>
            <w:r w:rsidR="003A0158">
              <w:rPr>
                <w:webHidden/>
              </w:rPr>
              <w:fldChar w:fldCharType="end"/>
            </w:r>
          </w:hyperlink>
        </w:p>
        <w:p w14:paraId="7463C31B" w14:textId="7C0F2EC3" w:rsidR="003A0158" w:rsidRDefault="00BF1E03">
          <w:pPr>
            <w:pStyle w:val="TOC1"/>
            <w:rPr>
              <w:rFonts w:asciiTheme="minorHAnsi" w:hAnsiTheme="minorHAnsi" w:cstheme="minorBidi"/>
              <w:b w:val="0"/>
              <w:sz w:val="22"/>
              <w:szCs w:val="22"/>
            </w:rPr>
          </w:pPr>
          <w:hyperlink w:anchor="_Toc137558535" w:history="1">
            <w:r w:rsidR="003A0158" w:rsidRPr="003568A7">
              <w:rPr>
                <w:rStyle w:val="Hyperlink"/>
                <w:lang w:val="en-GB"/>
              </w:rPr>
              <w:t>5.</w:t>
            </w:r>
            <w:r w:rsidR="003A0158">
              <w:rPr>
                <w:rFonts w:asciiTheme="minorHAnsi" w:hAnsiTheme="minorHAnsi" w:cstheme="minorBidi"/>
                <w:b w:val="0"/>
                <w:sz w:val="22"/>
                <w:szCs w:val="22"/>
              </w:rPr>
              <w:tab/>
            </w:r>
            <w:r w:rsidR="003A0158" w:rsidRPr="003568A7">
              <w:rPr>
                <w:rStyle w:val="Hyperlink"/>
                <w:lang w:val="en-GB"/>
              </w:rPr>
              <w:t>Ineligible Activities</w:t>
            </w:r>
            <w:r w:rsidR="003A0158">
              <w:rPr>
                <w:webHidden/>
              </w:rPr>
              <w:tab/>
            </w:r>
            <w:r w:rsidR="003A0158">
              <w:rPr>
                <w:webHidden/>
              </w:rPr>
              <w:fldChar w:fldCharType="begin"/>
            </w:r>
            <w:r w:rsidR="003A0158">
              <w:rPr>
                <w:webHidden/>
              </w:rPr>
              <w:instrText xml:space="preserve"> PAGEREF _Toc137558535 \h </w:instrText>
            </w:r>
            <w:r w:rsidR="003A0158">
              <w:rPr>
                <w:webHidden/>
              </w:rPr>
            </w:r>
            <w:r w:rsidR="003A0158">
              <w:rPr>
                <w:webHidden/>
              </w:rPr>
              <w:fldChar w:fldCharType="separate"/>
            </w:r>
            <w:r>
              <w:rPr>
                <w:webHidden/>
              </w:rPr>
              <w:t>7</w:t>
            </w:r>
            <w:r w:rsidR="003A0158">
              <w:rPr>
                <w:webHidden/>
              </w:rPr>
              <w:fldChar w:fldCharType="end"/>
            </w:r>
          </w:hyperlink>
        </w:p>
        <w:p w14:paraId="3240CAF6" w14:textId="29FEEA4D" w:rsidR="003A0158" w:rsidRDefault="00BF1E03">
          <w:pPr>
            <w:pStyle w:val="TOC1"/>
            <w:rPr>
              <w:rFonts w:asciiTheme="minorHAnsi" w:hAnsiTheme="minorHAnsi" w:cstheme="minorBidi"/>
              <w:b w:val="0"/>
              <w:sz w:val="22"/>
              <w:szCs w:val="22"/>
            </w:rPr>
          </w:pPr>
          <w:hyperlink w:anchor="_Toc137558536" w:history="1">
            <w:r w:rsidR="003A0158" w:rsidRPr="003568A7">
              <w:rPr>
                <w:rStyle w:val="Hyperlink"/>
                <w:lang w:val="en-GB"/>
              </w:rPr>
              <w:t>6.</w:t>
            </w:r>
            <w:r w:rsidR="003A0158">
              <w:rPr>
                <w:rFonts w:asciiTheme="minorHAnsi" w:hAnsiTheme="minorHAnsi" w:cstheme="minorBidi"/>
                <w:b w:val="0"/>
                <w:sz w:val="22"/>
                <w:szCs w:val="22"/>
              </w:rPr>
              <w:tab/>
            </w:r>
            <w:r w:rsidR="003A0158" w:rsidRPr="003568A7">
              <w:rPr>
                <w:rStyle w:val="Hyperlink"/>
                <w:lang w:val="en-GB"/>
              </w:rPr>
              <w:t>Promotional Interest Rates and Aid Rules</w:t>
            </w:r>
            <w:r w:rsidR="003A0158">
              <w:rPr>
                <w:webHidden/>
              </w:rPr>
              <w:tab/>
            </w:r>
            <w:r w:rsidR="003A0158">
              <w:rPr>
                <w:webHidden/>
              </w:rPr>
              <w:fldChar w:fldCharType="begin"/>
            </w:r>
            <w:r w:rsidR="003A0158">
              <w:rPr>
                <w:webHidden/>
              </w:rPr>
              <w:instrText xml:space="preserve"> PAGEREF _Toc137558536 \h </w:instrText>
            </w:r>
            <w:r w:rsidR="003A0158">
              <w:rPr>
                <w:webHidden/>
              </w:rPr>
            </w:r>
            <w:r w:rsidR="003A0158">
              <w:rPr>
                <w:webHidden/>
              </w:rPr>
              <w:fldChar w:fldCharType="separate"/>
            </w:r>
            <w:r>
              <w:rPr>
                <w:webHidden/>
              </w:rPr>
              <w:t>7</w:t>
            </w:r>
            <w:r w:rsidR="003A0158">
              <w:rPr>
                <w:webHidden/>
              </w:rPr>
              <w:fldChar w:fldCharType="end"/>
            </w:r>
          </w:hyperlink>
        </w:p>
        <w:p w14:paraId="7AB7056C" w14:textId="5015571A" w:rsidR="003A0158" w:rsidRDefault="00BF1E03">
          <w:pPr>
            <w:pStyle w:val="TOC3"/>
            <w:rPr>
              <w:rFonts w:asciiTheme="minorHAnsi" w:hAnsiTheme="minorHAnsi" w:cstheme="minorBidi"/>
              <w:sz w:val="22"/>
              <w:szCs w:val="22"/>
            </w:rPr>
          </w:pPr>
          <w:hyperlink w:anchor="_Toc137558537" w:history="1">
            <w:r w:rsidR="003A0158" w:rsidRPr="003568A7">
              <w:rPr>
                <w:rStyle w:val="Hyperlink"/>
                <w:lang w:val="en-GB"/>
              </w:rPr>
              <w:t>Promotional interest rate</w:t>
            </w:r>
            <w:r w:rsidR="003A0158">
              <w:rPr>
                <w:webHidden/>
              </w:rPr>
              <w:tab/>
            </w:r>
            <w:r w:rsidR="003A0158">
              <w:rPr>
                <w:webHidden/>
              </w:rPr>
              <w:fldChar w:fldCharType="begin"/>
            </w:r>
            <w:r w:rsidR="003A0158">
              <w:rPr>
                <w:webHidden/>
              </w:rPr>
              <w:instrText xml:space="preserve"> PAGEREF _Toc137558537 \h </w:instrText>
            </w:r>
            <w:r w:rsidR="003A0158">
              <w:rPr>
                <w:webHidden/>
              </w:rPr>
            </w:r>
            <w:r w:rsidR="003A0158">
              <w:rPr>
                <w:webHidden/>
              </w:rPr>
              <w:fldChar w:fldCharType="separate"/>
            </w:r>
            <w:r>
              <w:rPr>
                <w:webHidden/>
              </w:rPr>
              <w:t>7</w:t>
            </w:r>
            <w:r w:rsidR="003A0158">
              <w:rPr>
                <w:webHidden/>
              </w:rPr>
              <w:fldChar w:fldCharType="end"/>
            </w:r>
          </w:hyperlink>
        </w:p>
        <w:p w14:paraId="5A57FA11" w14:textId="7721B896" w:rsidR="003A0158" w:rsidRDefault="00BF1E03">
          <w:pPr>
            <w:pStyle w:val="TOC3"/>
            <w:rPr>
              <w:rFonts w:asciiTheme="minorHAnsi" w:hAnsiTheme="minorHAnsi" w:cstheme="minorBidi"/>
              <w:sz w:val="22"/>
              <w:szCs w:val="22"/>
            </w:rPr>
          </w:pPr>
          <w:hyperlink w:anchor="_Toc137558538" w:history="1">
            <w:r w:rsidR="003A0158" w:rsidRPr="003568A7">
              <w:rPr>
                <w:rStyle w:val="Hyperlink"/>
                <w:lang w:val="en-GB"/>
              </w:rPr>
              <w:t>General interest rate</w:t>
            </w:r>
            <w:r w:rsidR="003A0158">
              <w:rPr>
                <w:webHidden/>
              </w:rPr>
              <w:tab/>
            </w:r>
            <w:r w:rsidR="003A0158">
              <w:rPr>
                <w:webHidden/>
              </w:rPr>
              <w:fldChar w:fldCharType="begin"/>
            </w:r>
            <w:r w:rsidR="003A0158">
              <w:rPr>
                <w:webHidden/>
              </w:rPr>
              <w:instrText xml:space="preserve"> PAGEREF _Toc137558538 \h </w:instrText>
            </w:r>
            <w:r w:rsidR="003A0158">
              <w:rPr>
                <w:webHidden/>
              </w:rPr>
            </w:r>
            <w:r w:rsidR="003A0158">
              <w:rPr>
                <w:webHidden/>
              </w:rPr>
              <w:fldChar w:fldCharType="separate"/>
            </w:r>
            <w:r>
              <w:rPr>
                <w:webHidden/>
              </w:rPr>
              <w:t>7</w:t>
            </w:r>
            <w:r w:rsidR="003A0158">
              <w:rPr>
                <w:webHidden/>
              </w:rPr>
              <w:fldChar w:fldCharType="end"/>
            </w:r>
          </w:hyperlink>
        </w:p>
        <w:p w14:paraId="7C214580" w14:textId="6F676034" w:rsidR="003A0158" w:rsidRDefault="00BF1E03">
          <w:pPr>
            <w:pStyle w:val="TOC3"/>
            <w:rPr>
              <w:rFonts w:asciiTheme="minorHAnsi" w:hAnsiTheme="minorHAnsi" w:cstheme="minorBidi"/>
              <w:sz w:val="22"/>
              <w:szCs w:val="22"/>
            </w:rPr>
          </w:pPr>
          <w:hyperlink w:anchor="_Toc137558539" w:history="1">
            <w:r w:rsidR="003A0158" w:rsidRPr="003568A7">
              <w:rPr>
                <w:rStyle w:val="Hyperlink"/>
                <w:lang w:val="en-GB"/>
              </w:rPr>
              <w:t>Aid</w:t>
            </w:r>
            <w:r w:rsidR="003A0158">
              <w:rPr>
                <w:webHidden/>
              </w:rPr>
              <w:tab/>
            </w:r>
            <w:r w:rsidR="003A0158">
              <w:rPr>
                <w:webHidden/>
              </w:rPr>
              <w:fldChar w:fldCharType="begin"/>
            </w:r>
            <w:r w:rsidR="003A0158">
              <w:rPr>
                <w:webHidden/>
              </w:rPr>
              <w:instrText xml:space="preserve"> PAGEREF _Toc137558539 \h </w:instrText>
            </w:r>
            <w:r w:rsidR="003A0158">
              <w:rPr>
                <w:webHidden/>
              </w:rPr>
            </w:r>
            <w:r w:rsidR="003A0158">
              <w:rPr>
                <w:webHidden/>
              </w:rPr>
              <w:fldChar w:fldCharType="separate"/>
            </w:r>
            <w:r>
              <w:rPr>
                <w:webHidden/>
              </w:rPr>
              <w:t>8</w:t>
            </w:r>
            <w:r w:rsidR="003A0158">
              <w:rPr>
                <w:webHidden/>
              </w:rPr>
              <w:fldChar w:fldCharType="end"/>
            </w:r>
          </w:hyperlink>
        </w:p>
        <w:p w14:paraId="23742BD9" w14:textId="716BADCE" w:rsidR="003A0158" w:rsidRDefault="00BF1E03">
          <w:pPr>
            <w:pStyle w:val="TOC3"/>
            <w:rPr>
              <w:rFonts w:asciiTheme="minorHAnsi" w:hAnsiTheme="minorHAnsi" w:cstheme="minorBidi"/>
              <w:sz w:val="22"/>
              <w:szCs w:val="22"/>
            </w:rPr>
          </w:pPr>
          <w:hyperlink w:anchor="_Toc137558540" w:history="1">
            <w:r w:rsidR="003A0158" w:rsidRPr="003568A7">
              <w:rPr>
                <w:rStyle w:val="Hyperlink"/>
                <w:lang w:val="en-GB"/>
              </w:rPr>
              <w:t>Type of investment and aid</w:t>
            </w:r>
            <w:r w:rsidR="003A0158">
              <w:rPr>
                <w:webHidden/>
              </w:rPr>
              <w:tab/>
            </w:r>
            <w:r w:rsidR="003A0158">
              <w:rPr>
                <w:webHidden/>
              </w:rPr>
              <w:fldChar w:fldCharType="begin"/>
            </w:r>
            <w:r w:rsidR="003A0158">
              <w:rPr>
                <w:webHidden/>
              </w:rPr>
              <w:instrText xml:space="preserve"> PAGEREF _Toc137558540 \h </w:instrText>
            </w:r>
            <w:r w:rsidR="003A0158">
              <w:rPr>
                <w:webHidden/>
              </w:rPr>
            </w:r>
            <w:r w:rsidR="003A0158">
              <w:rPr>
                <w:webHidden/>
              </w:rPr>
              <w:fldChar w:fldCharType="separate"/>
            </w:r>
            <w:r>
              <w:rPr>
                <w:webHidden/>
              </w:rPr>
              <w:t>8</w:t>
            </w:r>
            <w:r w:rsidR="003A0158">
              <w:rPr>
                <w:webHidden/>
              </w:rPr>
              <w:fldChar w:fldCharType="end"/>
            </w:r>
          </w:hyperlink>
        </w:p>
        <w:p w14:paraId="3AC2F07C" w14:textId="1BC6B01B" w:rsidR="003A0158" w:rsidRDefault="00BF1E03">
          <w:pPr>
            <w:pStyle w:val="TOC2"/>
            <w:rPr>
              <w:rFonts w:asciiTheme="minorHAnsi" w:hAnsiTheme="minorHAnsi" w:cstheme="minorBidi"/>
              <w:b w:val="0"/>
              <w:bCs w:val="0"/>
              <w:sz w:val="22"/>
              <w:szCs w:val="22"/>
            </w:rPr>
          </w:pPr>
          <w:hyperlink w:anchor="_Toc137558541" w:history="1">
            <w:r w:rsidR="003A0158" w:rsidRPr="003568A7">
              <w:rPr>
                <w:rStyle w:val="Hyperlink"/>
                <w:lang w:val="en-GB"/>
              </w:rPr>
              <w:t>6.1.</w:t>
            </w:r>
            <w:r w:rsidR="003A0158">
              <w:rPr>
                <w:rFonts w:asciiTheme="minorHAnsi" w:hAnsiTheme="minorHAnsi" w:cstheme="minorBidi"/>
                <w:b w:val="0"/>
                <w:bCs w:val="0"/>
                <w:sz w:val="22"/>
                <w:szCs w:val="22"/>
              </w:rPr>
              <w:tab/>
            </w:r>
            <w:r w:rsidR="003A0158" w:rsidRPr="003568A7">
              <w:rPr>
                <w:rStyle w:val="Hyperlink"/>
                <w:lang w:val="en-GB"/>
              </w:rPr>
              <w:t>State Aid and Promotional Effect</w:t>
            </w:r>
            <w:r w:rsidR="003A0158">
              <w:rPr>
                <w:webHidden/>
              </w:rPr>
              <w:tab/>
            </w:r>
            <w:r w:rsidR="003A0158">
              <w:rPr>
                <w:webHidden/>
              </w:rPr>
              <w:fldChar w:fldCharType="begin"/>
            </w:r>
            <w:r w:rsidR="003A0158">
              <w:rPr>
                <w:webHidden/>
              </w:rPr>
              <w:instrText xml:space="preserve"> PAGEREF _Toc137558541 \h </w:instrText>
            </w:r>
            <w:r w:rsidR="003A0158">
              <w:rPr>
                <w:webHidden/>
              </w:rPr>
            </w:r>
            <w:r w:rsidR="003A0158">
              <w:rPr>
                <w:webHidden/>
              </w:rPr>
              <w:fldChar w:fldCharType="separate"/>
            </w:r>
            <w:r>
              <w:rPr>
                <w:webHidden/>
              </w:rPr>
              <w:t>8</w:t>
            </w:r>
            <w:r w:rsidR="003A0158">
              <w:rPr>
                <w:webHidden/>
              </w:rPr>
              <w:fldChar w:fldCharType="end"/>
            </w:r>
          </w:hyperlink>
        </w:p>
        <w:p w14:paraId="639097EA" w14:textId="3FCFC325" w:rsidR="003A0158" w:rsidRDefault="00BF1E03">
          <w:pPr>
            <w:pStyle w:val="TOC2"/>
            <w:rPr>
              <w:rFonts w:asciiTheme="minorHAnsi" w:hAnsiTheme="minorHAnsi" w:cstheme="minorBidi"/>
              <w:b w:val="0"/>
              <w:bCs w:val="0"/>
              <w:sz w:val="22"/>
              <w:szCs w:val="22"/>
            </w:rPr>
          </w:pPr>
          <w:hyperlink w:anchor="_Toc137558542" w:history="1">
            <w:r w:rsidR="003A0158" w:rsidRPr="003568A7">
              <w:rPr>
                <w:rStyle w:val="Hyperlink"/>
                <w:lang w:val="en-GB"/>
              </w:rPr>
              <w:t>6.2.</w:t>
            </w:r>
            <w:r w:rsidR="003A0158">
              <w:rPr>
                <w:rFonts w:asciiTheme="minorHAnsi" w:hAnsiTheme="minorHAnsi" w:cstheme="minorBidi"/>
                <w:b w:val="0"/>
                <w:bCs w:val="0"/>
                <w:sz w:val="22"/>
                <w:szCs w:val="22"/>
              </w:rPr>
              <w:tab/>
            </w:r>
            <w:r w:rsidR="003A0158" w:rsidRPr="003568A7">
              <w:rPr>
                <w:rStyle w:val="Hyperlink"/>
                <w:lang w:val="en-GB"/>
              </w:rPr>
              <w:t>Special Programmes in Terms of the Application of Aid Rules</w:t>
            </w:r>
            <w:r w:rsidR="003A0158">
              <w:rPr>
                <w:webHidden/>
              </w:rPr>
              <w:tab/>
            </w:r>
            <w:r w:rsidR="003A0158">
              <w:rPr>
                <w:webHidden/>
              </w:rPr>
              <w:fldChar w:fldCharType="begin"/>
            </w:r>
            <w:r w:rsidR="003A0158">
              <w:rPr>
                <w:webHidden/>
              </w:rPr>
              <w:instrText xml:space="preserve"> PAGEREF _Toc137558542 \h </w:instrText>
            </w:r>
            <w:r w:rsidR="003A0158">
              <w:rPr>
                <w:webHidden/>
              </w:rPr>
            </w:r>
            <w:r w:rsidR="003A0158">
              <w:rPr>
                <w:webHidden/>
              </w:rPr>
              <w:fldChar w:fldCharType="separate"/>
            </w:r>
            <w:r>
              <w:rPr>
                <w:webHidden/>
              </w:rPr>
              <w:t>9</w:t>
            </w:r>
            <w:r w:rsidR="003A0158">
              <w:rPr>
                <w:webHidden/>
              </w:rPr>
              <w:fldChar w:fldCharType="end"/>
            </w:r>
          </w:hyperlink>
        </w:p>
        <w:p w14:paraId="3D20E82A" w14:textId="227FEE80" w:rsidR="003A0158" w:rsidRDefault="00BF1E03">
          <w:pPr>
            <w:pStyle w:val="TOC3"/>
            <w:rPr>
              <w:rFonts w:asciiTheme="minorHAnsi" w:hAnsiTheme="minorHAnsi" w:cstheme="minorBidi"/>
              <w:sz w:val="22"/>
              <w:szCs w:val="22"/>
            </w:rPr>
          </w:pPr>
          <w:hyperlink w:anchor="_Toc137558543" w:history="1">
            <w:r w:rsidR="003A0158" w:rsidRPr="003568A7">
              <w:rPr>
                <w:rStyle w:val="Hyperlink"/>
                <w:lang w:val="en-GB"/>
              </w:rPr>
              <w:t>EU projects</w:t>
            </w:r>
            <w:r w:rsidR="003A0158">
              <w:rPr>
                <w:webHidden/>
              </w:rPr>
              <w:tab/>
            </w:r>
            <w:r w:rsidR="003A0158">
              <w:rPr>
                <w:webHidden/>
              </w:rPr>
              <w:fldChar w:fldCharType="begin"/>
            </w:r>
            <w:r w:rsidR="003A0158">
              <w:rPr>
                <w:webHidden/>
              </w:rPr>
              <w:instrText xml:space="preserve"> PAGEREF _Toc137558543 \h </w:instrText>
            </w:r>
            <w:r w:rsidR="003A0158">
              <w:rPr>
                <w:webHidden/>
              </w:rPr>
            </w:r>
            <w:r w:rsidR="003A0158">
              <w:rPr>
                <w:webHidden/>
              </w:rPr>
              <w:fldChar w:fldCharType="separate"/>
            </w:r>
            <w:r>
              <w:rPr>
                <w:webHidden/>
              </w:rPr>
              <w:t>9</w:t>
            </w:r>
            <w:r w:rsidR="003A0158">
              <w:rPr>
                <w:webHidden/>
              </w:rPr>
              <w:fldChar w:fldCharType="end"/>
            </w:r>
          </w:hyperlink>
        </w:p>
        <w:p w14:paraId="32776C46" w14:textId="4CF2FC61" w:rsidR="003A0158" w:rsidRDefault="00BF1E03">
          <w:pPr>
            <w:pStyle w:val="TOC3"/>
            <w:rPr>
              <w:rFonts w:asciiTheme="minorHAnsi" w:hAnsiTheme="minorHAnsi" w:cstheme="minorBidi"/>
              <w:sz w:val="22"/>
              <w:szCs w:val="22"/>
            </w:rPr>
          </w:pPr>
          <w:hyperlink w:anchor="_Toc137558544" w:history="1">
            <w:r w:rsidR="003A0158" w:rsidRPr="003568A7">
              <w:rPr>
                <w:rStyle w:val="Hyperlink"/>
                <w:lang w:val="en-GB"/>
              </w:rPr>
              <w:t>Public sector investments</w:t>
            </w:r>
            <w:r w:rsidR="003A0158">
              <w:rPr>
                <w:webHidden/>
              </w:rPr>
              <w:tab/>
            </w:r>
            <w:r w:rsidR="003A0158">
              <w:rPr>
                <w:webHidden/>
              </w:rPr>
              <w:fldChar w:fldCharType="begin"/>
            </w:r>
            <w:r w:rsidR="003A0158">
              <w:rPr>
                <w:webHidden/>
              </w:rPr>
              <w:instrText xml:space="preserve"> PAGEREF _Toc137558544 \h </w:instrText>
            </w:r>
            <w:r w:rsidR="003A0158">
              <w:rPr>
                <w:webHidden/>
              </w:rPr>
            </w:r>
            <w:r w:rsidR="003A0158">
              <w:rPr>
                <w:webHidden/>
              </w:rPr>
              <w:fldChar w:fldCharType="separate"/>
            </w:r>
            <w:r>
              <w:rPr>
                <w:webHidden/>
              </w:rPr>
              <w:t>9</w:t>
            </w:r>
            <w:r w:rsidR="003A0158">
              <w:rPr>
                <w:webHidden/>
              </w:rPr>
              <w:fldChar w:fldCharType="end"/>
            </w:r>
          </w:hyperlink>
        </w:p>
        <w:p w14:paraId="2A818B2E" w14:textId="57FE7EA2" w:rsidR="003A0158" w:rsidRDefault="00BF1E03">
          <w:pPr>
            <w:pStyle w:val="TOC3"/>
            <w:rPr>
              <w:rFonts w:asciiTheme="minorHAnsi" w:hAnsiTheme="minorHAnsi" w:cstheme="minorBidi"/>
              <w:sz w:val="22"/>
              <w:szCs w:val="22"/>
            </w:rPr>
          </w:pPr>
          <w:hyperlink w:anchor="_Toc137558545" w:history="1">
            <w:r w:rsidR="003A0158" w:rsidRPr="003568A7">
              <w:rPr>
                <w:rStyle w:val="Hyperlink"/>
                <w:lang w:val="en-GB"/>
              </w:rPr>
              <w:t>Financial restructuring</w:t>
            </w:r>
            <w:r w:rsidR="003A0158">
              <w:rPr>
                <w:webHidden/>
              </w:rPr>
              <w:tab/>
            </w:r>
            <w:r w:rsidR="003A0158">
              <w:rPr>
                <w:webHidden/>
              </w:rPr>
              <w:fldChar w:fldCharType="begin"/>
            </w:r>
            <w:r w:rsidR="003A0158">
              <w:rPr>
                <w:webHidden/>
              </w:rPr>
              <w:instrText xml:space="preserve"> PAGEREF _Toc137558545 \h </w:instrText>
            </w:r>
            <w:r w:rsidR="003A0158">
              <w:rPr>
                <w:webHidden/>
              </w:rPr>
            </w:r>
            <w:r w:rsidR="003A0158">
              <w:rPr>
                <w:webHidden/>
              </w:rPr>
              <w:fldChar w:fldCharType="separate"/>
            </w:r>
            <w:r>
              <w:rPr>
                <w:webHidden/>
              </w:rPr>
              <w:t>10</w:t>
            </w:r>
            <w:r w:rsidR="003A0158">
              <w:rPr>
                <w:webHidden/>
              </w:rPr>
              <w:fldChar w:fldCharType="end"/>
            </w:r>
          </w:hyperlink>
        </w:p>
        <w:p w14:paraId="46C51DB5" w14:textId="79965F4D" w:rsidR="003A0158" w:rsidRDefault="00BF1E03">
          <w:pPr>
            <w:pStyle w:val="TOC2"/>
            <w:rPr>
              <w:rFonts w:asciiTheme="minorHAnsi" w:hAnsiTheme="minorHAnsi" w:cstheme="minorBidi"/>
              <w:b w:val="0"/>
              <w:bCs w:val="0"/>
              <w:sz w:val="22"/>
              <w:szCs w:val="22"/>
            </w:rPr>
          </w:pPr>
          <w:hyperlink w:anchor="_Toc137558546" w:history="1">
            <w:r w:rsidR="003A0158" w:rsidRPr="003568A7">
              <w:rPr>
                <w:rStyle w:val="Hyperlink"/>
                <w:lang w:val="en-GB"/>
              </w:rPr>
              <w:t>6.3.</w:t>
            </w:r>
            <w:r w:rsidR="003A0158">
              <w:rPr>
                <w:rFonts w:asciiTheme="minorHAnsi" w:hAnsiTheme="minorHAnsi" w:cstheme="minorBidi"/>
                <w:b w:val="0"/>
                <w:bCs w:val="0"/>
                <w:sz w:val="22"/>
                <w:szCs w:val="22"/>
              </w:rPr>
              <w:tab/>
            </w:r>
            <w:r w:rsidR="003A0158" w:rsidRPr="003568A7">
              <w:rPr>
                <w:rStyle w:val="Hyperlink"/>
                <w:lang w:val="en-GB"/>
              </w:rPr>
              <w:t>Exemptions from Financing at Promotional Interest Rate</w:t>
            </w:r>
            <w:r w:rsidR="003A0158">
              <w:rPr>
                <w:webHidden/>
              </w:rPr>
              <w:tab/>
            </w:r>
            <w:r w:rsidR="003A0158">
              <w:rPr>
                <w:webHidden/>
              </w:rPr>
              <w:fldChar w:fldCharType="begin"/>
            </w:r>
            <w:r w:rsidR="003A0158">
              <w:rPr>
                <w:webHidden/>
              </w:rPr>
              <w:instrText xml:space="preserve"> PAGEREF _Toc137558546 \h </w:instrText>
            </w:r>
            <w:r w:rsidR="003A0158">
              <w:rPr>
                <w:webHidden/>
              </w:rPr>
            </w:r>
            <w:r w:rsidR="003A0158">
              <w:rPr>
                <w:webHidden/>
              </w:rPr>
              <w:fldChar w:fldCharType="separate"/>
            </w:r>
            <w:r>
              <w:rPr>
                <w:webHidden/>
              </w:rPr>
              <w:t>10</w:t>
            </w:r>
            <w:r w:rsidR="003A0158">
              <w:rPr>
                <w:webHidden/>
              </w:rPr>
              <w:fldChar w:fldCharType="end"/>
            </w:r>
          </w:hyperlink>
        </w:p>
        <w:p w14:paraId="131172DC" w14:textId="72ECB1AE" w:rsidR="003A0158" w:rsidRDefault="00BF1E03">
          <w:pPr>
            <w:pStyle w:val="TOC1"/>
            <w:rPr>
              <w:rFonts w:asciiTheme="minorHAnsi" w:hAnsiTheme="minorHAnsi" w:cstheme="minorBidi"/>
              <w:b w:val="0"/>
              <w:sz w:val="22"/>
              <w:szCs w:val="22"/>
            </w:rPr>
          </w:pPr>
          <w:hyperlink w:anchor="_Toc137558547" w:history="1">
            <w:r w:rsidR="003A0158" w:rsidRPr="003568A7">
              <w:rPr>
                <w:rStyle w:val="Hyperlink"/>
                <w:lang w:val="en-GB"/>
              </w:rPr>
              <w:t>7.</w:t>
            </w:r>
            <w:r w:rsidR="003A0158">
              <w:rPr>
                <w:rFonts w:asciiTheme="minorHAnsi" w:hAnsiTheme="minorHAnsi" w:cstheme="minorBidi"/>
                <w:b w:val="0"/>
                <w:sz w:val="22"/>
                <w:szCs w:val="22"/>
              </w:rPr>
              <w:tab/>
            </w:r>
            <w:r w:rsidR="003A0158" w:rsidRPr="003568A7">
              <w:rPr>
                <w:rStyle w:val="Hyperlink"/>
                <w:lang w:val="en-GB"/>
              </w:rPr>
              <w:t>Others</w:t>
            </w:r>
            <w:r w:rsidR="003A0158">
              <w:rPr>
                <w:webHidden/>
              </w:rPr>
              <w:tab/>
            </w:r>
            <w:r w:rsidR="003A0158">
              <w:rPr>
                <w:webHidden/>
              </w:rPr>
              <w:fldChar w:fldCharType="begin"/>
            </w:r>
            <w:r w:rsidR="003A0158">
              <w:rPr>
                <w:webHidden/>
              </w:rPr>
              <w:instrText xml:space="preserve"> PAGEREF _Toc137558547 \h </w:instrText>
            </w:r>
            <w:r w:rsidR="003A0158">
              <w:rPr>
                <w:webHidden/>
              </w:rPr>
            </w:r>
            <w:r w:rsidR="003A0158">
              <w:rPr>
                <w:webHidden/>
              </w:rPr>
              <w:fldChar w:fldCharType="separate"/>
            </w:r>
            <w:r>
              <w:rPr>
                <w:webHidden/>
              </w:rPr>
              <w:t>10</w:t>
            </w:r>
            <w:r w:rsidR="003A0158">
              <w:rPr>
                <w:webHidden/>
              </w:rPr>
              <w:fldChar w:fldCharType="end"/>
            </w:r>
          </w:hyperlink>
        </w:p>
        <w:p w14:paraId="1F702E0D" w14:textId="4FB5A80B" w:rsidR="003A0158" w:rsidRDefault="00BF1E03">
          <w:pPr>
            <w:pStyle w:val="TOC3"/>
            <w:rPr>
              <w:rFonts w:asciiTheme="minorHAnsi" w:hAnsiTheme="minorHAnsi" w:cstheme="minorBidi"/>
              <w:sz w:val="22"/>
              <w:szCs w:val="22"/>
            </w:rPr>
          </w:pPr>
          <w:hyperlink w:anchor="_Toc137558548" w:history="1">
            <w:r w:rsidR="003A0158" w:rsidRPr="003568A7">
              <w:rPr>
                <w:rStyle w:val="Hyperlink"/>
                <w:lang w:val="en-GB"/>
              </w:rPr>
              <w:t>Schedule 1 – Ineligible activities</w:t>
            </w:r>
            <w:r w:rsidR="003A0158">
              <w:rPr>
                <w:webHidden/>
              </w:rPr>
              <w:tab/>
            </w:r>
            <w:r w:rsidR="003A0158">
              <w:rPr>
                <w:webHidden/>
              </w:rPr>
              <w:fldChar w:fldCharType="begin"/>
            </w:r>
            <w:r w:rsidR="003A0158">
              <w:rPr>
                <w:webHidden/>
              </w:rPr>
              <w:instrText xml:space="preserve"> PAGEREF _Toc137558548 \h </w:instrText>
            </w:r>
            <w:r w:rsidR="003A0158">
              <w:rPr>
                <w:webHidden/>
              </w:rPr>
            </w:r>
            <w:r w:rsidR="003A0158">
              <w:rPr>
                <w:webHidden/>
              </w:rPr>
              <w:fldChar w:fldCharType="separate"/>
            </w:r>
            <w:r>
              <w:rPr>
                <w:webHidden/>
              </w:rPr>
              <w:t>11</w:t>
            </w:r>
            <w:r w:rsidR="003A0158">
              <w:rPr>
                <w:webHidden/>
              </w:rPr>
              <w:fldChar w:fldCharType="end"/>
            </w:r>
          </w:hyperlink>
        </w:p>
        <w:p w14:paraId="5C690E09" w14:textId="68067CD5" w:rsidR="000B1F6C" w:rsidRPr="00065189" w:rsidRDefault="000B1F6C" w:rsidP="00877EF7">
          <w:pPr>
            <w:pStyle w:val="TOC1"/>
            <w:rPr>
              <w:noProof w:val="0"/>
              <w:lang w:val="en-GB"/>
            </w:rPr>
          </w:pPr>
          <w:r w:rsidRPr="00065189">
            <w:rPr>
              <w:noProof w:val="0"/>
              <w:lang w:val="en-GB"/>
            </w:rPr>
            <w:fldChar w:fldCharType="end"/>
          </w:r>
        </w:p>
      </w:sdtContent>
    </w:sdt>
    <w:p w14:paraId="454BDD6B" w14:textId="77777777" w:rsidR="00791D51" w:rsidRPr="00065189" w:rsidRDefault="00791D51">
      <w:pPr>
        <w:rPr>
          <w:rFonts w:cs="Arial"/>
          <w:b/>
          <w:szCs w:val="20"/>
          <w:lang w:val="en-GB"/>
        </w:rPr>
      </w:pPr>
      <w:r w:rsidRPr="00065189">
        <w:rPr>
          <w:rFonts w:cs="Arial"/>
          <w:szCs w:val="20"/>
          <w:lang w:val="en-GB"/>
        </w:rPr>
        <w:br w:type="page"/>
      </w:r>
    </w:p>
    <w:p w14:paraId="02FE4C03" w14:textId="750AFFD2" w:rsidR="00A7487F" w:rsidRPr="00065189" w:rsidRDefault="00E13C36" w:rsidP="001A4F54">
      <w:pPr>
        <w:pStyle w:val="HeadingA"/>
        <w:numPr>
          <w:ilvl w:val="0"/>
          <w:numId w:val="4"/>
        </w:numPr>
        <w:spacing w:after="240"/>
        <w:ind w:left="357" w:hanging="357"/>
        <w:outlineLvl w:val="0"/>
        <w:rPr>
          <w:rFonts w:ascii="Arial" w:hAnsi="Arial" w:cs="Arial"/>
          <w:sz w:val="24"/>
          <w:szCs w:val="24"/>
          <w:lang w:val="en-GB"/>
        </w:rPr>
      </w:pPr>
      <w:bookmarkStart w:id="9" w:name="_Toc534881541"/>
      <w:bookmarkStart w:id="10" w:name="_Toc137558508"/>
      <w:bookmarkStart w:id="11" w:name="_Hlk1478395"/>
      <w:r w:rsidRPr="00065189">
        <w:rPr>
          <w:rFonts w:ascii="Arial" w:hAnsi="Arial" w:cs="Arial"/>
          <w:sz w:val="24"/>
          <w:szCs w:val="24"/>
          <w:lang w:val="en-GB"/>
        </w:rPr>
        <w:lastRenderedPageBreak/>
        <w:t>Borrowers</w:t>
      </w:r>
      <w:bookmarkEnd w:id="9"/>
      <w:bookmarkEnd w:id="10"/>
    </w:p>
    <w:p w14:paraId="23DF63AE" w14:textId="5BF36862" w:rsidR="00F628DD" w:rsidRPr="00065189" w:rsidRDefault="00CA5445" w:rsidP="001A4F54">
      <w:pPr>
        <w:pStyle w:val="HeadingA"/>
        <w:numPr>
          <w:ilvl w:val="1"/>
          <w:numId w:val="4"/>
        </w:numPr>
        <w:spacing w:after="240" w:line="276" w:lineRule="auto"/>
        <w:ind w:left="851" w:hanging="567"/>
        <w:outlineLvl w:val="1"/>
        <w:rPr>
          <w:rFonts w:ascii="Arial" w:hAnsi="Arial" w:cs="Arial"/>
          <w:sz w:val="20"/>
          <w:szCs w:val="20"/>
          <w:lang w:val="en-GB"/>
        </w:rPr>
      </w:pPr>
      <w:bookmarkStart w:id="12" w:name="_Toc137558509"/>
      <w:bookmarkStart w:id="13" w:name="_Hlk93619427"/>
      <w:bookmarkStart w:id="14" w:name="_Hlk93329951"/>
      <w:bookmarkStart w:id="15" w:name="_Hlk93408953"/>
      <w:bookmarkEnd w:id="11"/>
      <w:r w:rsidRPr="00065189">
        <w:rPr>
          <w:rFonts w:ascii="Arial" w:hAnsi="Arial" w:cs="Arial"/>
          <w:sz w:val="20"/>
          <w:szCs w:val="20"/>
          <w:lang w:val="en-GB"/>
        </w:rPr>
        <w:t>Eligible Borrowers</w:t>
      </w:r>
      <w:bookmarkEnd w:id="12"/>
    </w:p>
    <w:bookmarkEnd w:id="13"/>
    <w:p w14:paraId="51F9FCC7" w14:textId="67948626" w:rsidR="00F375D0" w:rsidRPr="00065189" w:rsidRDefault="005D16E5" w:rsidP="0094020A">
      <w:pPr>
        <w:spacing w:line="276" w:lineRule="auto"/>
        <w:jc w:val="both"/>
        <w:rPr>
          <w:rFonts w:cs="Arial"/>
          <w:szCs w:val="20"/>
          <w:lang w:val="en-GB"/>
        </w:rPr>
      </w:pPr>
      <w:r w:rsidRPr="00065189">
        <w:rPr>
          <w:rFonts w:cs="Arial"/>
          <w:szCs w:val="20"/>
          <w:lang w:val="en-GB"/>
        </w:rPr>
        <w:t xml:space="preserve">Eligible </w:t>
      </w:r>
      <w:r w:rsidR="0042616D" w:rsidRPr="00065189">
        <w:rPr>
          <w:rFonts w:cs="Arial"/>
          <w:szCs w:val="20"/>
          <w:lang w:val="en-GB"/>
        </w:rPr>
        <w:t>b</w:t>
      </w:r>
      <w:r w:rsidR="007050FB" w:rsidRPr="00065189">
        <w:rPr>
          <w:rFonts w:cs="Arial"/>
          <w:szCs w:val="20"/>
          <w:lang w:val="en-GB"/>
        </w:rPr>
        <w:t>orrowers</w:t>
      </w:r>
      <w:r w:rsidR="0042616D" w:rsidRPr="00065189">
        <w:rPr>
          <w:rFonts w:cs="Arial"/>
          <w:szCs w:val="20"/>
          <w:lang w:val="en-GB"/>
        </w:rPr>
        <w:t xml:space="preserve"> of HBOR’s loans </w:t>
      </w:r>
      <w:r w:rsidRPr="00065189">
        <w:rPr>
          <w:rFonts w:cs="Arial"/>
          <w:szCs w:val="20"/>
          <w:lang w:val="en-GB"/>
        </w:rPr>
        <w:t xml:space="preserve">or placements are </w:t>
      </w:r>
      <w:r w:rsidR="0026482E" w:rsidRPr="00065189">
        <w:rPr>
          <w:rFonts w:cs="Arial"/>
          <w:szCs w:val="20"/>
          <w:lang w:val="en-GB"/>
        </w:rPr>
        <w:t>(</w:t>
      </w:r>
      <w:r w:rsidR="00C67EDE" w:rsidRPr="00065189">
        <w:rPr>
          <w:rFonts w:cs="Arial"/>
          <w:szCs w:val="20"/>
          <w:lang w:val="en-GB"/>
        </w:rPr>
        <w:t xml:space="preserve">subject to </w:t>
      </w:r>
      <w:r w:rsidR="00040A7C" w:rsidRPr="00065189">
        <w:rPr>
          <w:rFonts w:cs="Arial"/>
          <w:szCs w:val="20"/>
          <w:lang w:val="en-GB"/>
        </w:rPr>
        <w:t>other conditions defined in these General Eligibility Criteria</w:t>
      </w:r>
      <w:r w:rsidR="0094020A" w:rsidRPr="00065189">
        <w:rPr>
          <w:rFonts w:cs="Arial"/>
          <w:szCs w:val="20"/>
          <w:lang w:val="en-GB"/>
        </w:rPr>
        <w:t xml:space="preserve">, </w:t>
      </w:r>
      <w:r w:rsidR="00CB5784" w:rsidRPr="00065189">
        <w:rPr>
          <w:lang w:val="en-GB" w:eastAsia="hr-HR"/>
        </w:rPr>
        <w:t>programm</w:t>
      </w:r>
      <w:r w:rsidR="00C67EDE" w:rsidRPr="00065189">
        <w:rPr>
          <w:lang w:val="en-GB" w:eastAsia="hr-HR"/>
        </w:rPr>
        <w:t xml:space="preserve">es </w:t>
      </w:r>
      <w:r w:rsidR="00CB5784" w:rsidRPr="00065189">
        <w:rPr>
          <w:lang w:val="en-GB" w:eastAsia="hr-HR"/>
        </w:rPr>
        <w:t>a</w:t>
      </w:r>
      <w:r w:rsidR="00C67EDE" w:rsidRPr="00065189">
        <w:rPr>
          <w:lang w:val="en-GB" w:eastAsia="hr-HR"/>
        </w:rPr>
        <w:t>nd</w:t>
      </w:r>
      <w:r w:rsidR="00CB5784" w:rsidRPr="00065189">
        <w:rPr>
          <w:lang w:val="en-GB" w:eastAsia="hr-HR"/>
        </w:rPr>
        <w:t xml:space="preserve"> prod</w:t>
      </w:r>
      <w:r w:rsidR="00C67EDE" w:rsidRPr="00065189">
        <w:rPr>
          <w:lang w:val="en-GB" w:eastAsia="hr-HR"/>
        </w:rPr>
        <w:t xml:space="preserve">ucts of </w:t>
      </w:r>
      <w:r w:rsidR="00CB5784" w:rsidRPr="00065189">
        <w:rPr>
          <w:lang w:val="en-GB" w:eastAsia="hr-HR"/>
        </w:rPr>
        <w:t>HBOR</w:t>
      </w:r>
      <w:r w:rsidR="00C67EDE" w:rsidRPr="00065189">
        <w:rPr>
          <w:lang w:val="en-GB" w:eastAsia="hr-HR"/>
        </w:rPr>
        <w:t xml:space="preserve"> </w:t>
      </w:r>
      <w:r w:rsidR="00CB5784" w:rsidRPr="00065189">
        <w:rPr>
          <w:lang w:val="en-GB" w:eastAsia="hr-HR"/>
        </w:rPr>
        <w:t>a</w:t>
      </w:r>
      <w:r w:rsidR="00C67EDE" w:rsidRPr="00065189">
        <w:rPr>
          <w:lang w:val="en-GB" w:eastAsia="hr-HR"/>
        </w:rPr>
        <w:t>nd</w:t>
      </w:r>
      <w:r w:rsidR="0026482E" w:rsidRPr="00065189">
        <w:rPr>
          <w:rFonts w:cs="Arial"/>
          <w:szCs w:val="20"/>
          <w:lang w:val="en-GB"/>
        </w:rPr>
        <w:t>/</w:t>
      </w:r>
      <w:r w:rsidR="00C67EDE" w:rsidRPr="00065189">
        <w:rPr>
          <w:rFonts w:cs="Arial"/>
          <w:szCs w:val="20"/>
          <w:lang w:val="en-GB"/>
        </w:rPr>
        <w:t xml:space="preserve">or other applicable documents of </w:t>
      </w:r>
      <w:r w:rsidR="0084371F" w:rsidRPr="00065189">
        <w:rPr>
          <w:rFonts w:cs="Arial"/>
          <w:szCs w:val="20"/>
          <w:lang w:val="en-GB"/>
        </w:rPr>
        <w:t>HBOR</w:t>
      </w:r>
      <w:r w:rsidR="0026482E" w:rsidRPr="00065189">
        <w:rPr>
          <w:rFonts w:cs="Arial"/>
          <w:szCs w:val="20"/>
          <w:lang w:val="en-GB"/>
        </w:rPr>
        <w:t>)</w:t>
      </w:r>
      <w:r w:rsidR="0094020A" w:rsidRPr="00065189">
        <w:rPr>
          <w:rFonts w:cs="Arial"/>
          <w:szCs w:val="20"/>
          <w:lang w:val="en-GB"/>
        </w:rPr>
        <w:t xml:space="preserve"> </w:t>
      </w:r>
      <w:r w:rsidR="0094020A" w:rsidRPr="00065189">
        <w:rPr>
          <w:rFonts w:cs="Arial"/>
          <w:b/>
          <w:bCs/>
          <w:szCs w:val="20"/>
          <w:lang w:val="en-GB"/>
        </w:rPr>
        <w:t>p</w:t>
      </w:r>
      <w:r w:rsidR="00C67EDE" w:rsidRPr="00065189">
        <w:rPr>
          <w:rFonts w:cs="Arial"/>
          <w:b/>
          <w:bCs/>
          <w:szCs w:val="20"/>
          <w:lang w:val="en-GB"/>
        </w:rPr>
        <w:t>rivate sector business entities and public sector business entities</w:t>
      </w:r>
      <w:r w:rsidR="0094020A" w:rsidRPr="00065189">
        <w:rPr>
          <w:rFonts w:cs="Arial"/>
          <w:szCs w:val="20"/>
          <w:lang w:val="en-GB"/>
        </w:rPr>
        <w:t xml:space="preserve">, </w:t>
      </w:r>
      <w:r w:rsidR="00C67EDE" w:rsidRPr="00065189">
        <w:rPr>
          <w:rFonts w:cs="Arial"/>
          <w:szCs w:val="20"/>
          <w:lang w:val="en-GB"/>
        </w:rPr>
        <w:t>where</w:t>
      </w:r>
      <w:r w:rsidR="00F375D0" w:rsidRPr="00065189">
        <w:rPr>
          <w:rFonts w:cs="Arial"/>
          <w:szCs w:val="20"/>
          <w:lang w:val="en-GB"/>
        </w:rPr>
        <w:t>:</w:t>
      </w:r>
    </w:p>
    <w:p w14:paraId="017229A7" w14:textId="17530CB6" w:rsidR="00F375D0" w:rsidRPr="00065189" w:rsidRDefault="00C67EDE" w:rsidP="00F375D0">
      <w:pPr>
        <w:pStyle w:val="ListParagraph"/>
        <w:numPr>
          <w:ilvl w:val="0"/>
          <w:numId w:val="13"/>
        </w:numPr>
        <w:spacing w:line="276" w:lineRule="auto"/>
        <w:jc w:val="both"/>
        <w:rPr>
          <w:rFonts w:cs="Arial"/>
          <w:szCs w:val="20"/>
          <w:lang w:val="en-GB"/>
        </w:rPr>
      </w:pPr>
      <w:r w:rsidRPr="00065189">
        <w:rPr>
          <w:rFonts w:cs="Arial"/>
          <w:szCs w:val="20"/>
          <w:lang w:val="en-GB"/>
        </w:rPr>
        <w:t>The term “b</w:t>
      </w:r>
      <w:r w:rsidR="007050FB" w:rsidRPr="00065189">
        <w:rPr>
          <w:rFonts w:cs="Arial"/>
          <w:szCs w:val="20"/>
          <w:lang w:val="en-GB"/>
        </w:rPr>
        <w:t>orrower</w:t>
      </w:r>
      <w:r w:rsidR="00C45761" w:rsidRPr="00065189">
        <w:rPr>
          <w:rFonts w:cs="Arial"/>
          <w:szCs w:val="20"/>
          <w:lang w:val="en-GB"/>
        </w:rPr>
        <w:t xml:space="preserve">” </w:t>
      </w:r>
      <w:r w:rsidR="00236AC3" w:rsidRPr="00065189">
        <w:rPr>
          <w:rFonts w:cs="Arial"/>
          <w:szCs w:val="20"/>
          <w:lang w:val="en-GB"/>
        </w:rPr>
        <w:t xml:space="preserve">or “final borrower” </w:t>
      </w:r>
      <w:r w:rsidR="00C45761" w:rsidRPr="00065189">
        <w:rPr>
          <w:rFonts w:cs="Arial"/>
          <w:szCs w:val="20"/>
          <w:lang w:val="en-GB"/>
        </w:rPr>
        <w:t xml:space="preserve">relates to </w:t>
      </w:r>
      <w:r w:rsidR="00D222CB" w:rsidRPr="00065189">
        <w:rPr>
          <w:rFonts w:cs="Arial"/>
          <w:szCs w:val="20"/>
          <w:lang w:val="en-GB"/>
        </w:rPr>
        <w:t xml:space="preserve">a natural person or legal entity that is financed directly or in cooperation with a commercial bank or </w:t>
      </w:r>
      <w:r w:rsidR="00F375D0" w:rsidRPr="00065189">
        <w:rPr>
          <w:rFonts w:cs="Arial"/>
          <w:szCs w:val="20"/>
          <w:lang w:val="en-GB"/>
        </w:rPr>
        <w:t xml:space="preserve">leasing </w:t>
      </w:r>
      <w:r w:rsidR="00D222CB" w:rsidRPr="00065189">
        <w:rPr>
          <w:rFonts w:cs="Arial"/>
          <w:szCs w:val="20"/>
          <w:lang w:val="en-GB"/>
        </w:rPr>
        <w:t xml:space="preserve">company, </w:t>
      </w:r>
      <w:r w:rsidR="00ED4389" w:rsidRPr="00065189">
        <w:rPr>
          <w:rFonts w:cs="Arial"/>
          <w:szCs w:val="20"/>
          <w:lang w:val="en-GB"/>
        </w:rPr>
        <w:t xml:space="preserve">including a principal in the case of </w:t>
      </w:r>
      <w:proofErr w:type="gramStart"/>
      <w:r w:rsidR="00ED4389" w:rsidRPr="00065189">
        <w:rPr>
          <w:rFonts w:cs="Arial"/>
          <w:szCs w:val="20"/>
          <w:lang w:val="en-GB"/>
        </w:rPr>
        <w:t>guarantee</w:t>
      </w:r>
      <w:proofErr w:type="gramEnd"/>
      <w:r w:rsidR="00ED4389" w:rsidRPr="00065189">
        <w:rPr>
          <w:rFonts w:cs="Arial"/>
          <w:szCs w:val="20"/>
          <w:lang w:val="en-GB"/>
        </w:rPr>
        <w:t xml:space="preserve"> issuance</w:t>
      </w:r>
      <w:r w:rsidR="00F375D0" w:rsidRPr="00065189">
        <w:rPr>
          <w:rFonts w:cs="Arial"/>
          <w:szCs w:val="20"/>
          <w:lang w:val="en-GB"/>
        </w:rPr>
        <w:t>;</w:t>
      </w:r>
    </w:p>
    <w:p w14:paraId="36E0627D" w14:textId="445785C5" w:rsidR="0084371F" w:rsidRPr="00065189" w:rsidRDefault="00ED4389" w:rsidP="0094020A">
      <w:pPr>
        <w:pStyle w:val="ListParagraph"/>
        <w:numPr>
          <w:ilvl w:val="0"/>
          <w:numId w:val="13"/>
        </w:numPr>
        <w:spacing w:line="276" w:lineRule="auto"/>
        <w:jc w:val="both"/>
        <w:rPr>
          <w:rFonts w:cs="Arial"/>
          <w:szCs w:val="20"/>
          <w:lang w:val="en-GB"/>
        </w:rPr>
      </w:pPr>
      <w:r w:rsidRPr="00065189">
        <w:rPr>
          <w:rFonts w:cs="Arial"/>
          <w:szCs w:val="20"/>
          <w:lang w:val="en-GB"/>
        </w:rPr>
        <w:t xml:space="preserve">The term “loan” or “placement” relates to all lending activities, both direct and indirect, </w:t>
      </w:r>
      <w:r w:rsidR="00FA162E" w:rsidRPr="00065189">
        <w:rPr>
          <w:rFonts w:cs="Arial"/>
          <w:szCs w:val="20"/>
          <w:lang w:val="en-GB"/>
        </w:rPr>
        <w:t>including guarantee issuance, and all banking products</w:t>
      </w:r>
      <w:r w:rsidR="00F375D0" w:rsidRPr="00065189">
        <w:rPr>
          <w:rFonts w:cs="Arial"/>
          <w:szCs w:val="20"/>
          <w:lang w:val="en-GB"/>
        </w:rPr>
        <w:t>.</w:t>
      </w:r>
      <w:r w:rsidR="0084371F" w:rsidRPr="00065189">
        <w:rPr>
          <w:rFonts w:cs="Arial"/>
          <w:szCs w:val="20"/>
          <w:lang w:val="en-GB"/>
        </w:rPr>
        <w:t xml:space="preserve"> </w:t>
      </w:r>
    </w:p>
    <w:p w14:paraId="0FA4100D" w14:textId="7AFAA7B8" w:rsidR="00ED4465" w:rsidRPr="00065189" w:rsidRDefault="00D74930">
      <w:pPr>
        <w:pStyle w:val="HeadingA"/>
        <w:numPr>
          <w:ilvl w:val="0"/>
          <w:numId w:val="0"/>
        </w:numPr>
        <w:spacing w:before="240" w:after="0" w:line="276" w:lineRule="auto"/>
        <w:outlineLvl w:val="2"/>
        <w:rPr>
          <w:rFonts w:ascii="Arial" w:hAnsi="Arial" w:cs="Arial"/>
          <w:color w:val="auto"/>
          <w:sz w:val="20"/>
          <w:szCs w:val="20"/>
          <w:lang w:val="en-GB"/>
        </w:rPr>
      </w:pPr>
      <w:bookmarkStart w:id="16" w:name="_Toc137558510"/>
      <w:r w:rsidRPr="00065189">
        <w:rPr>
          <w:rFonts w:ascii="Arial" w:hAnsi="Arial" w:cs="Arial"/>
          <w:color w:val="auto"/>
          <w:sz w:val="20"/>
          <w:szCs w:val="20"/>
          <w:lang w:val="en-GB"/>
        </w:rPr>
        <w:t xml:space="preserve">Private </w:t>
      </w:r>
      <w:r w:rsidR="00CC1A63" w:rsidRPr="00065189">
        <w:rPr>
          <w:rFonts w:ascii="Arial" w:hAnsi="Arial" w:cs="Arial"/>
          <w:color w:val="auto"/>
          <w:sz w:val="20"/>
          <w:szCs w:val="20"/>
          <w:lang w:val="en-GB"/>
        </w:rPr>
        <w:t>s</w:t>
      </w:r>
      <w:r w:rsidRPr="00065189">
        <w:rPr>
          <w:rFonts w:ascii="Arial" w:hAnsi="Arial" w:cs="Arial"/>
          <w:color w:val="auto"/>
          <w:sz w:val="20"/>
          <w:szCs w:val="20"/>
          <w:lang w:val="en-GB"/>
        </w:rPr>
        <w:t xml:space="preserve">ector </w:t>
      </w:r>
      <w:r w:rsidR="00CC1A63" w:rsidRPr="00065189">
        <w:rPr>
          <w:rFonts w:ascii="Arial" w:hAnsi="Arial" w:cs="Arial"/>
          <w:color w:val="auto"/>
          <w:sz w:val="20"/>
          <w:szCs w:val="20"/>
          <w:lang w:val="en-GB"/>
        </w:rPr>
        <w:t>b</w:t>
      </w:r>
      <w:r w:rsidRPr="00065189">
        <w:rPr>
          <w:rFonts w:ascii="Arial" w:hAnsi="Arial" w:cs="Arial"/>
          <w:color w:val="auto"/>
          <w:sz w:val="20"/>
          <w:szCs w:val="20"/>
          <w:lang w:val="en-GB"/>
        </w:rPr>
        <w:t xml:space="preserve">usiness </w:t>
      </w:r>
      <w:r w:rsidR="00CC1A63" w:rsidRPr="00065189">
        <w:rPr>
          <w:rFonts w:ascii="Arial" w:hAnsi="Arial" w:cs="Arial"/>
          <w:color w:val="auto"/>
          <w:sz w:val="20"/>
          <w:szCs w:val="20"/>
          <w:lang w:val="en-GB"/>
        </w:rPr>
        <w:t>e</w:t>
      </w:r>
      <w:r w:rsidRPr="00065189">
        <w:rPr>
          <w:rFonts w:ascii="Arial" w:hAnsi="Arial" w:cs="Arial"/>
          <w:color w:val="auto"/>
          <w:sz w:val="20"/>
          <w:szCs w:val="20"/>
          <w:lang w:val="en-GB"/>
        </w:rPr>
        <w:t>ntities</w:t>
      </w:r>
      <w:bookmarkEnd w:id="16"/>
    </w:p>
    <w:p w14:paraId="37FE00BB" w14:textId="6EE94987" w:rsidR="002707B6" w:rsidRPr="00065189" w:rsidRDefault="00E540B4" w:rsidP="00200929">
      <w:pPr>
        <w:pStyle w:val="ListParagraph"/>
        <w:spacing w:line="276" w:lineRule="auto"/>
        <w:ind w:left="0"/>
        <w:jc w:val="both"/>
        <w:rPr>
          <w:rFonts w:eastAsia="MS Mincho" w:cs="Arial"/>
          <w:bCs/>
          <w:szCs w:val="20"/>
          <w:lang w:val="en-GB" w:eastAsia="ja-JP" w:bidi="hr-HR"/>
        </w:rPr>
      </w:pPr>
      <w:bookmarkStart w:id="17" w:name="_Hlk93360984"/>
      <w:bookmarkEnd w:id="14"/>
      <w:r w:rsidRPr="00065189">
        <w:rPr>
          <w:rFonts w:cs="Arial"/>
          <w:bCs/>
          <w:szCs w:val="20"/>
          <w:lang w:val="en-GB"/>
        </w:rPr>
        <w:t>C</w:t>
      </w:r>
      <w:r w:rsidRPr="00065189">
        <w:rPr>
          <w:rFonts w:eastAsia="MS Mincho" w:cs="Arial"/>
          <w:bCs/>
          <w:szCs w:val="20"/>
          <w:lang w:val="en-GB" w:eastAsia="ja-JP" w:bidi="hr-HR"/>
        </w:rPr>
        <w:t>ompanies, crafts businesses, sole traders, family farms, cooperatives and institutions</w:t>
      </w:r>
      <w:r w:rsidR="008E27BB" w:rsidRPr="00065189">
        <w:rPr>
          <w:rFonts w:eastAsia="MS Mincho" w:cs="Arial"/>
          <w:bCs/>
          <w:szCs w:val="20"/>
          <w:lang w:val="en-GB" w:eastAsia="ja-JP" w:bidi="hr-HR"/>
        </w:rPr>
        <w:t xml:space="preserve"> in private of majority private ownership</w:t>
      </w:r>
      <w:r w:rsidR="00EA2DE6" w:rsidRPr="00065189">
        <w:rPr>
          <w:rFonts w:eastAsia="MS Mincho" w:cs="Arial"/>
          <w:bCs/>
          <w:szCs w:val="20"/>
          <w:lang w:val="en-GB" w:eastAsia="ja-JP" w:bidi="hr-HR"/>
        </w:rPr>
        <w:t xml:space="preserve"> classified in accordance with </w:t>
      </w:r>
      <w:r w:rsidR="0016749D" w:rsidRPr="00065189">
        <w:rPr>
          <w:rFonts w:eastAsia="MS Mincho" w:cs="Arial"/>
          <w:bCs/>
          <w:szCs w:val="20"/>
          <w:lang w:val="en-GB" w:eastAsia="ja-JP" w:bidi="hr-HR"/>
        </w:rPr>
        <w:t xml:space="preserve">their </w:t>
      </w:r>
      <w:r w:rsidR="00EA2DE6" w:rsidRPr="00065189">
        <w:rPr>
          <w:rFonts w:eastAsia="MS Mincho" w:cs="Arial"/>
          <w:bCs/>
          <w:szCs w:val="20"/>
          <w:lang w:val="en-GB" w:eastAsia="ja-JP" w:bidi="hr-HR"/>
        </w:rPr>
        <w:t>size</w:t>
      </w:r>
      <w:r w:rsidR="00300E31" w:rsidRPr="00065189">
        <w:rPr>
          <w:rFonts w:eastAsia="MS Mincho" w:cs="Arial"/>
          <w:bCs/>
          <w:szCs w:val="20"/>
          <w:lang w:val="en-GB" w:eastAsia="ja-JP" w:bidi="hr-HR"/>
        </w:rPr>
        <w:t xml:space="preserve"> as</w:t>
      </w:r>
      <w:r w:rsidR="007D164E" w:rsidRPr="00065189">
        <w:rPr>
          <w:rFonts w:eastAsia="MS Mincho" w:cs="Arial"/>
          <w:bCs/>
          <w:szCs w:val="20"/>
          <w:lang w:val="en-GB" w:eastAsia="ja-JP" w:bidi="hr-HR"/>
        </w:rPr>
        <w:t xml:space="preserve"> follows</w:t>
      </w:r>
      <w:r w:rsidR="00810064" w:rsidRPr="00065189">
        <w:rPr>
          <w:rFonts w:cs="Arial"/>
          <w:lang w:val="en-GB"/>
        </w:rPr>
        <w:t>:</w:t>
      </w:r>
    </w:p>
    <w:p w14:paraId="26074899" w14:textId="3F3D8CB0" w:rsidR="00810064" w:rsidRPr="00065189" w:rsidRDefault="00AC0510" w:rsidP="003E6B2A">
      <w:pPr>
        <w:pStyle w:val="HeadingA"/>
        <w:numPr>
          <w:ilvl w:val="0"/>
          <w:numId w:val="0"/>
        </w:numPr>
        <w:spacing w:before="120" w:after="0" w:line="276" w:lineRule="auto"/>
        <w:ind w:firstLine="720"/>
        <w:outlineLvl w:val="2"/>
        <w:rPr>
          <w:rFonts w:ascii="Arial" w:hAnsi="Arial" w:cs="Arial"/>
          <w:color w:val="auto"/>
          <w:sz w:val="20"/>
          <w:szCs w:val="20"/>
          <w:lang w:val="en-GB"/>
        </w:rPr>
      </w:pPr>
      <w:bookmarkStart w:id="18" w:name="_Toc137558511"/>
      <w:bookmarkStart w:id="19" w:name="_Hlk93361206"/>
      <w:bookmarkEnd w:id="17"/>
      <w:r w:rsidRPr="00065189">
        <w:rPr>
          <w:rFonts w:ascii="Arial" w:hAnsi="Arial" w:cs="Arial"/>
          <w:color w:val="auto"/>
          <w:sz w:val="20"/>
          <w:szCs w:val="20"/>
          <w:lang w:val="en-GB"/>
        </w:rPr>
        <w:t>Mi</w:t>
      </w:r>
      <w:r w:rsidR="00C37F99" w:rsidRPr="00065189">
        <w:rPr>
          <w:rFonts w:ascii="Arial" w:hAnsi="Arial" w:cs="Arial"/>
          <w:color w:val="auto"/>
          <w:sz w:val="20"/>
          <w:szCs w:val="20"/>
          <w:lang w:val="en-GB"/>
        </w:rPr>
        <w:t>c</w:t>
      </w:r>
      <w:r w:rsidRPr="00065189">
        <w:rPr>
          <w:rFonts w:ascii="Arial" w:hAnsi="Arial" w:cs="Arial"/>
          <w:color w:val="auto"/>
          <w:sz w:val="20"/>
          <w:szCs w:val="20"/>
          <w:lang w:val="en-GB"/>
        </w:rPr>
        <w:t xml:space="preserve">ro, </w:t>
      </w:r>
      <w:r w:rsidR="00CC1A63" w:rsidRPr="00065189">
        <w:rPr>
          <w:rFonts w:ascii="Arial" w:hAnsi="Arial" w:cs="Arial"/>
          <w:color w:val="auto"/>
          <w:sz w:val="20"/>
          <w:szCs w:val="20"/>
          <w:lang w:val="en-GB"/>
        </w:rPr>
        <w:t>s</w:t>
      </w:r>
      <w:r w:rsidR="00C37F99" w:rsidRPr="00065189">
        <w:rPr>
          <w:rFonts w:ascii="Arial" w:hAnsi="Arial" w:cs="Arial"/>
          <w:color w:val="auto"/>
          <w:sz w:val="20"/>
          <w:szCs w:val="20"/>
          <w:lang w:val="en-GB"/>
        </w:rPr>
        <w:t xml:space="preserve">mall and </w:t>
      </w:r>
      <w:r w:rsidR="00CC1A63" w:rsidRPr="00065189">
        <w:rPr>
          <w:rFonts w:ascii="Arial" w:hAnsi="Arial" w:cs="Arial"/>
          <w:color w:val="auto"/>
          <w:sz w:val="20"/>
          <w:szCs w:val="20"/>
          <w:lang w:val="en-GB"/>
        </w:rPr>
        <w:t>m</w:t>
      </w:r>
      <w:r w:rsidR="00C37F99" w:rsidRPr="00065189">
        <w:rPr>
          <w:rFonts w:ascii="Arial" w:hAnsi="Arial" w:cs="Arial"/>
          <w:color w:val="auto"/>
          <w:sz w:val="20"/>
          <w:szCs w:val="20"/>
          <w:lang w:val="en-GB"/>
        </w:rPr>
        <w:t>edium-</w:t>
      </w:r>
      <w:r w:rsidR="00CC1A63" w:rsidRPr="00065189">
        <w:rPr>
          <w:rFonts w:ascii="Arial" w:hAnsi="Arial" w:cs="Arial"/>
          <w:color w:val="auto"/>
          <w:sz w:val="20"/>
          <w:szCs w:val="20"/>
          <w:lang w:val="en-GB"/>
        </w:rPr>
        <w:t>s</w:t>
      </w:r>
      <w:r w:rsidR="00C37F99" w:rsidRPr="00065189">
        <w:rPr>
          <w:rFonts w:ascii="Arial" w:hAnsi="Arial" w:cs="Arial"/>
          <w:color w:val="auto"/>
          <w:sz w:val="20"/>
          <w:szCs w:val="20"/>
          <w:lang w:val="en-GB"/>
        </w:rPr>
        <w:t xml:space="preserve">ized </w:t>
      </w:r>
      <w:r w:rsidR="00CC1A63" w:rsidRPr="00065189">
        <w:rPr>
          <w:rFonts w:ascii="Arial" w:hAnsi="Arial" w:cs="Arial"/>
          <w:color w:val="auto"/>
          <w:sz w:val="20"/>
          <w:szCs w:val="20"/>
          <w:lang w:val="en-GB"/>
        </w:rPr>
        <w:t>e</w:t>
      </w:r>
      <w:r w:rsidR="00C37F99" w:rsidRPr="00065189">
        <w:rPr>
          <w:rFonts w:ascii="Arial" w:hAnsi="Arial" w:cs="Arial"/>
          <w:color w:val="auto"/>
          <w:sz w:val="20"/>
          <w:szCs w:val="20"/>
          <w:lang w:val="en-GB"/>
        </w:rPr>
        <w:t>nt</w:t>
      </w:r>
      <w:r w:rsidR="00EA0A00" w:rsidRPr="00065189">
        <w:rPr>
          <w:rFonts w:ascii="Arial" w:hAnsi="Arial" w:cs="Arial"/>
          <w:color w:val="auto"/>
          <w:sz w:val="20"/>
          <w:szCs w:val="20"/>
          <w:lang w:val="en-GB"/>
        </w:rPr>
        <w:t>erprises</w:t>
      </w:r>
      <w:bookmarkEnd w:id="18"/>
      <w:r w:rsidR="00EA0A00" w:rsidRPr="00065189">
        <w:rPr>
          <w:rFonts w:ascii="Arial" w:hAnsi="Arial" w:cs="Arial"/>
          <w:color w:val="auto"/>
          <w:sz w:val="20"/>
          <w:szCs w:val="20"/>
          <w:lang w:val="en-GB"/>
        </w:rPr>
        <w:t xml:space="preserve"> </w:t>
      </w:r>
    </w:p>
    <w:p w14:paraId="1B7697C6" w14:textId="2699132E" w:rsidR="00AC0510" w:rsidRPr="00065189" w:rsidRDefault="00810064" w:rsidP="00EC095B">
      <w:pPr>
        <w:pStyle w:val="ListParagraph"/>
        <w:spacing w:line="276" w:lineRule="auto"/>
        <w:jc w:val="both"/>
        <w:rPr>
          <w:rFonts w:cs="Arial"/>
          <w:szCs w:val="20"/>
          <w:lang w:val="en-GB"/>
        </w:rPr>
      </w:pPr>
      <w:r w:rsidRPr="00065189">
        <w:rPr>
          <w:rFonts w:cs="Arial"/>
          <w:bCs/>
          <w:szCs w:val="20"/>
          <w:lang w:val="en-GB"/>
        </w:rPr>
        <w:t>P</w:t>
      </w:r>
      <w:r w:rsidR="00EC095B" w:rsidRPr="00065189">
        <w:rPr>
          <w:rFonts w:cs="Arial"/>
          <w:szCs w:val="20"/>
          <w:lang w:val="en-GB"/>
        </w:rPr>
        <w:t>rivate sector business entities which employ fewer than 250 employees and which have an annual</w:t>
      </w:r>
      <w:r w:rsidR="00EA0A00" w:rsidRPr="00065189">
        <w:rPr>
          <w:rFonts w:cs="Arial"/>
          <w:szCs w:val="20"/>
          <w:lang w:val="en-GB"/>
        </w:rPr>
        <w:t xml:space="preserve"> </w:t>
      </w:r>
      <w:r w:rsidR="00EC095B" w:rsidRPr="00065189">
        <w:rPr>
          <w:rFonts w:cs="Arial"/>
          <w:szCs w:val="20"/>
          <w:lang w:val="en-GB"/>
        </w:rPr>
        <w:t>turnover below EUR 50 million and/or an annual balance sheet total below EUR 43 million according</w:t>
      </w:r>
      <w:r w:rsidR="000956D8" w:rsidRPr="00065189">
        <w:rPr>
          <w:rFonts w:cs="Arial"/>
          <w:szCs w:val="20"/>
          <w:lang w:val="en-GB"/>
        </w:rPr>
        <w:t xml:space="preserve"> </w:t>
      </w:r>
      <w:r w:rsidR="00EC095B" w:rsidRPr="00065189">
        <w:rPr>
          <w:rFonts w:cs="Arial"/>
          <w:szCs w:val="20"/>
          <w:lang w:val="en-GB"/>
        </w:rPr>
        <w:t>to the latest available annual financial statements, in accordance with the Commission</w:t>
      </w:r>
      <w:r w:rsidR="000956D8" w:rsidRPr="00065189">
        <w:rPr>
          <w:rFonts w:cs="Arial"/>
          <w:szCs w:val="20"/>
          <w:lang w:val="en-GB"/>
        </w:rPr>
        <w:t xml:space="preserve"> </w:t>
      </w:r>
      <w:r w:rsidR="00EC095B" w:rsidRPr="00065189">
        <w:rPr>
          <w:rFonts w:cs="Arial"/>
          <w:szCs w:val="20"/>
          <w:lang w:val="en-GB"/>
        </w:rPr>
        <w:t>Recommendation 2003/361/EC of 6 May 2003 concerning the definition of micro, small and medium</w:t>
      </w:r>
      <w:r w:rsidR="000956D8" w:rsidRPr="00065189">
        <w:rPr>
          <w:rFonts w:cs="Arial"/>
          <w:szCs w:val="20"/>
          <w:lang w:val="en-GB"/>
        </w:rPr>
        <w:t>-</w:t>
      </w:r>
      <w:r w:rsidR="00EC095B" w:rsidRPr="00065189">
        <w:rPr>
          <w:rFonts w:cs="Arial"/>
          <w:szCs w:val="20"/>
          <w:lang w:val="en-GB"/>
        </w:rPr>
        <w:t>sized enterprises (OJ L 124, 20.5.2003</w:t>
      </w:r>
      <w:r w:rsidR="001946A8" w:rsidRPr="00065189">
        <w:rPr>
          <w:rFonts w:cs="Arial"/>
          <w:szCs w:val="20"/>
          <w:lang w:val="en-GB"/>
        </w:rPr>
        <w:t>) (</w:t>
      </w:r>
      <w:r w:rsidR="00454679" w:rsidRPr="00065189">
        <w:rPr>
          <w:rFonts w:cs="Arial"/>
          <w:szCs w:val="20"/>
          <w:lang w:val="en-GB"/>
        </w:rPr>
        <w:t>hereinafter</w:t>
      </w:r>
      <w:r w:rsidR="001946A8" w:rsidRPr="00065189">
        <w:rPr>
          <w:rFonts w:cs="Arial"/>
          <w:szCs w:val="20"/>
          <w:lang w:val="en-GB"/>
        </w:rPr>
        <w:t xml:space="preserve">: </w:t>
      </w:r>
      <w:r w:rsidR="00507336" w:rsidRPr="00065189">
        <w:rPr>
          <w:rFonts w:cs="Arial"/>
          <w:szCs w:val="20"/>
          <w:lang w:val="en-GB"/>
        </w:rPr>
        <w:t xml:space="preserve">Recommendation of the </w:t>
      </w:r>
      <w:r w:rsidR="001946A8" w:rsidRPr="00065189">
        <w:rPr>
          <w:rFonts w:cs="Arial"/>
          <w:szCs w:val="20"/>
          <w:lang w:val="en-GB"/>
        </w:rPr>
        <w:t>E</w:t>
      </w:r>
      <w:r w:rsidR="00507336" w:rsidRPr="00065189">
        <w:rPr>
          <w:rFonts w:cs="Arial"/>
          <w:szCs w:val="20"/>
          <w:lang w:val="en-GB"/>
        </w:rPr>
        <w:t>uropean Commission</w:t>
      </w:r>
      <w:r w:rsidR="001946A8" w:rsidRPr="00065189">
        <w:rPr>
          <w:rFonts w:cs="Arial"/>
          <w:szCs w:val="20"/>
          <w:lang w:val="en-GB"/>
        </w:rPr>
        <w:t>).</w:t>
      </w:r>
    </w:p>
    <w:p w14:paraId="6082FFE0" w14:textId="53B525D0" w:rsidR="000D360E" w:rsidRPr="00065189" w:rsidRDefault="007E1D16" w:rsidP="003E6B2A">
      <w:pPr>
        <w:pStyle w:val="HeadingA"/>
        <w:numPr>
          <w:ilvl w:val="0"/>
          <w:numId w:val="0"/>
        </w:numPr>
        <w:spacing w:before="120" w:after="0" w:line="276" w:lineRule="auto"/>
        <w:ind w:firstLine="720"/>
        <w:outlineLvl w:val="2"/>
        <w:rPr>
          <w:rFonts w:ascii="Arial" w:hAnsi="Arial" w:cs="Arial"/>
          <w:color w:val="auto"/>
          <w:sz w:val="20"/>
          <w:szCs w:val="20"/>
          <w:lang w:val="en-GB"/>
        </w:rPr>
      </w:pPr>
      <w:bookmarkStart w:id="20" w:name="_Toc137558512"/>
      <w:r w:rsidRPr="00065189">
        <w:rPr>
          <w:rFonts w:ascii="Arial" w:hAnsi="Arial" w:cs="Arial"/>
          <w:color w:val="auto"/>
          <w:sz w:val="20"/>
          <w:szCs w:val="20"/>
          <w:lang w:val="en-GB"/>
        </w:rPr>
        <w:t>Mid-</w:t>
      </w:r>
      <w:r w:rsidR="00CC1A63" w:rsidRPr="00065189">
        <w:rPr>
          <w:rFonts w:ascii="Arial" w:hAnsi="Arial" w:cs="Arial"/>
          <w:color w:val="auto"/>
          <w:sz w:val="20"/>
          <w:szCs w:val="20"/>
          <w:lang w:val="en-GB"/>
        </w:rPr>
        <w:t>c</w:t>
      </w:r>
      <w:r w:rsidRPr="00065189">
        <w:rPr>
          <w:rFonts w:ascii="Arial" w:hAnsi="Arial" w:cs="Arial"/>
          <w:color w:val="auto"/>
          <w:sz w:val="20"/>
          <w:szCs w:val="20"/>
          <w:lang w:val="en-GB"/>
        </w:rPr>
        <w:t>aps</w:t>
      </w:r>
      <w:bookmarkEnd w:id="20"/>
    </w:p>
    <w:p w14:paraId="0B1B4EFB" w14:textId="3E9D3CB3" w:rsidR="00AC0510" w:rsidRPr="00065189" w:rsidRDefault="000D360E" w:rsidP="00507336">
      <w:pPr>
        <w:pStyle w:val="ListParagraph"/>
        <w:spacing w:line="276" w:lineRule="auto"/>
        <w:jc w:val="both"/>
        <w:rPr>
          <w:rFonts w:cs="Arial"/>
          <w:szCs w:val="20"/>
          <w:lang w:val="en-GB"/>
        </w:rPr>
      </w:pPr>
      <w:r w:rsidRPr="00065189">
        <w:rPr>
          <w:rFonts w:cs="Arial"/>
          <w:szCs w:val="20"/>
          <w:lang w:val="en-GB"/>
        </w:rPr>
        <w:t>P</w:t>
      </w:r>
      <w:r w:rsidR="007E1D16" w:rsidRPr="00065189">
        <w:rPr>
          <w:rFonts w:cs="Arial"/>
          <w:szCs w:val="20"/>
          <w:lang w:val="en-GB"/>
        </w:rPr>
        <w:t>rivate sector business entities which employ from 250 to 2,999 employees accord</w:t>
      </w:r>
      <w:r w:rsidR="000E2761" w:rsidRPr="00065189">
        <w:rPr>
          <w:rFonts w:cs="Arial"/>
          <w:szCs w:val="20"/>
          <w:lang w:val="en-GB"/>
        </w:rPr>
        <w:t xml:space="preserve">ing to </w:t>
      </w:r>
      <w:r w:rsidR="007E1D16" w:rsidRPr="00065189">
        <w:rPr>
          <w:rFonts w:cs="Arial"/>
          <w:szCs w:val="20"/>
          <w:lang w:val="en-GB"/>
        </w:rPr>
        <w:t>the latest available annual financial statements and which in accordance with their size, ownership, employee number and other conditions do not enter the category of micro, small and medium-sized enterprises pursuant to the Recommendation of the European Commission</w:t>
      </w:r>
      <w:bookmarkStart w:id="21" w:name="_Hlk93329755"/>
      <w:r w:rsidR="00241242" w:rsidRPr="00065189">
        <w:rPr>
          <w:rFonts w:cs="Arial"/>
          <w:szCs w:val="20"/>
          <w:lang w:val="en-GB"/>
        </w:rPr>
        <w:t>.</w:t>
      </w:r>
      <w:bookmarkEnd w:id="21"/>
    </w:p>
    <w:p w14:paraId="62D0DB4C" w14:textId="57C3CD43" w:rsidR="000D360E" w:rsidRPr="00065189" w:rsidRDefault="00462E56" w:rsidP="003E6B2A">
      <w:pPr>
        <w:pStyle w:val="HeadingA"/>
        <w:numPr>
          <w:ilvl w:val="0"/>
          <w:numId w:val="0"/>
        </w:numPr>
        <w:spacing w:before="120" w:after="0" w:line="276" w:lineRule="auto"/>
        <w:ind w:firstLine="720"/>
        <w:outlineLvl w:val="2"/>
        <w:rPr>
          <w:rFonts w:ascii="Arial" w:hAnsi="Arial" w:cs="Arial"/>
          <w:color w:val="auto"/>
          <w:sz w:val="20"/>
          <w:szCs w:val="20"/>
          <w:lang w:val="en-GB"/>
        </w:rPr>
      </w:pPr>
      <w:bookmarkStart w:id="22" w:name="_Toc137558513"/>
      <w:r w:rsidRPr="00065189">
        <w:rPr>
          <w:rFonts w:ascii="Arial" w:hAnsi="Arial" w:cs="Arial"/>
          <w:color w:val="auto"/>
          <w:sz w:val="20"/>
          <w:szCs w:val="20"/>
          <w:lang w:val="en-GB"/>
        </w:rPr>
        <w:t xml:space="preserve">Large </w:t>
      </w:r>
      <w:r w:rsidR="00CC1A63" w:rsidRPr="00065189">
        <w:rPr>
          <w:rFonts w:ascii="Arial" w:hAnsi="Arial" w:cs="Arial"/>
          <w:color w:val="auto"/>
          <w:sz w:val="20"/>
          <w:szCs w:val="20"/>
          <w:lang w:val="en-GB"/>
        </w:rPr>
        <w:t>b</w:t>
      </w:r>
      <w:r w:rsidRPr="00065189">
        <w:rPr>
          <w:rFonts w:ascii="Arial" w:hAnsi="Arial" w:cs="Arial"/>
          <w:color w:val="auto"/>
          <w:sz w:val="20"/>
          <w:szCs w:val="20"/>
          <w:lang w:val="en-GB"/>
        </w:rPr>
        <w:t xml:space="preserve">usiness </w:t>
      </w:r>
      <w:r w:rsidR="00CC1A63" w:rsidRPr="00065189">
        <w:rPr>
          <w:rFonts w:ascii="Arial" w:hAnsi="Arial" w:cs="Arial"/>
          <w:color w:val="auto"/>
          <w:sz w:val="20"/>
          <w:szCs w:val="20"/>
          <w:lang w:val="en-GB"/>
        </w:rPr>
        <w:t>e</w:t>
      </w:r>
      <w:r w:rsidRPr="00065189">
        <w:rPr>
          <w:rFonts w:ascii="Arial" w:hAnsi="Arial" w:cs="Arial"/>
          <w:color w:val="auto"/>
          <w:sz w:val="20"/>
          <w:szCs w:val="20"/>
          <w:lang w:val="en-GB"/>
        </w:rPr>
        <w:t>ntities</w:t>
      </w:r>
      <w:bookmarkEnd w:id="22"/>
    </w:p>
    <w:p w14:paraId="567BA632" w14:textId="139EC014" w:rsidR="009C72A4" w:rsidRPr="00065189" w:rsidRDefault="000D360E" w:rsidP="00766293">
      <w:pPr>
        <w:pStyle w:val="ListParagraph"/>
        <w:spacing w:line="276" w:lineRule="auto"/>
        <w:jc w:val="both"/>
        <w:rPr>
          <w:rFonts w:cs="Arial"/>
          <w:szCs w:val="20"/>
          <w:lang w:val="en-GB"/>
        </w:rPr>
      </w:pPr>
      <w:r w:rsidRPr="00065189">
        <w:rPr>
          <w:rFonts w:cs="Arial"/>
          <w:szCs w:val="20"/>
          <w:lang w:val="en-GB"/>
        </w:rPr>
        <w:t>P</w:t>
      </w:r>
      <w:r w:rsidR="006B3133" w:rsidRPr="00065189">
        <w:rPr>
          <w:rFonts w:cs="Arial"/>
          <w:szCs w:val="20"/>
          <w:lang w:val="en-GB"/>
        </w:rPr>
        <w:t>rivate sector business entities which employ 3,000 and more employees accord</w:t>
      </w:r>
      <w:r w:rsidR="00766293" w:rsidRPr="00065189">
        <w:rPr>
          <w:rFonts w:cs="Arial"/>
          <w:szCs w:val="20"/>
          <w:lang w:val="en-GB"/>
        </w:rPr>
        <w:t xml:space="preserve">ing to </w:t>
      </w:r>
      <w:r w:rsidR="006B3133" w:rsidRPr="00065189">
        <w:rPr>
          <w:rFonts w:cs="Arial"/>
          <w:szCs w:val="20"/>
          <w:lang w:val="en-GB"/>
        </w:rPr>
        <w:t>the latest available annual financial statements and which in accordance with their size, ownership, employee number and other conditions do not enter the category of micro, small and medium-sized enterprises pursuant to the Recommendation of the European Commission</w:t>
      </w:r>
      <w:bookmarkStart w:id="23" w:name="_Hlk93310365"/>
      <w:bookmarkEnd w:id="19"/>
      <w:r w:rsidR="009C72A4" w:rsidRPr="00065189">
        <w:rPr>
          <w:rFonts w:cs="Arial"/>
          <w:szCs w:val="20"/>
          <w:lang w:val="en-GB"/>
        </w:rPr>
        <w:t xml:space="preserve">. </w:t>
      </w:r>
    </w:p>
    <w:p w14:paraId="0CA45EA2" w14:textId="18DC74C0" w:rsidR="002707B6" w:rsidRPr="00065189" w:rsidRDefault="00C37F99">
      <w:pPr>
        <w:pStyle w:val="HeadingA"/>
        <w:numPr>
          <w:ilvl w:val="0"/>
          <w:numId w:val="0"/>
        </w:numPr>
        <w:spacing w:before="240" w:after="0" w:line="276" w:lineRule="auto"/>
        <w:outlineLvl w:val="2"/>
        <w:rPr>
          <w:rFonts w:ascii="Arial" w:hAnsi="Arial" w:cs="Arial"/>
          <w:color w:val="auto"/>
          <w:sz w:val="20"/>
          <w:szCs w:val="20"/>
          <w:lang w:val="en-GB"/>
        </w:rPr>
      </w:pPr>
      <w:bookmarkStart w:id="24" w:name="_Toc137558514"/>
      <w:r w:rsidRPr="00065189">
        <w:rPr>
          <w:rFonts w:ascii="Arial" w:hAnsi="Arial" w:cs="Arial"/>
          <w:color w:val="auto"/>
          <w:sz w:val="20"/>
          <w:szCs w:val="20"/>
          <w:lang w:val="en-GB"/>
        </w:rPr>
        <w:t xml:space="preserve">Public </w:t>
      </w:r>
      <w:r w:rsidR="0081636D" w:rsidRPr="00065189">
        <w:rPr>
          <w:rFonts w:ascii="Arial" w:hAnsi="Arial" w:cs="Arial"/>
          <w:color w:val="auto"/>
          <w:sz w:val="20"/>
          <w:szCs w:val="20"/>
          <w:lang w:val="en-GB"/>
        </w:rPr>
        <w:t>s</w:t>
      </w:r>
      <w:r w:rsidRPr="00065189">
        <w:rPr>
          <w:rFonts w:ascii="Arial" w:hAnsi="Arial" w:cs="Arial"/>
          <w:color w:val="auto"/>
          <w:sz w:val="20"/>
          <w:szCs w:val="20"/>
          <w:lang w:val="en-GB"/>
        </w:rPr>
        <w:t xml:space="preserve">ector </w:t>
      </w:r>
      <w:r w:rsidR="0081636D" w:rsidRPr="00065189">
        <w:rPr>
          <w:rFonts w:ascii="Arial" w:hAnsi="Arial" w:cs="Arial"/>
          <w:color w:val="auto"/>
          <w:sz w:val="20"/>
          <w:szCs w:val="20"/>
          <w:lang w:val="en-GB"/>
        </w:rPr>
        <w:t>e</w:t>
      </w:r>
      <w:r w:rsidRPr="00065189">
        <w:rPr>
          <w:rFonts w:ascii="Arial" w:hAnsi="Arial" w:cs="Arial"/>
          <w:color w:val="auto"/>
          <w:sz w:val="20"/>
          <w:szCs w:val="20"/>
          <w:lang w:val="en-GB"/>
        </w:rPr>
        <w:t>ntities</w:t>
      </w:r>
      <w:bookmarkEnd w:id="24"/>
      <w:r w:rsidR="002707B6" w:rsidRPr="00065189">
        <w:rPr>
          <w:rFonts w:ascii="Arial" w:hAnsi="Arial" w:cs="Arial"/>
          <w:color w:val="auto"/>
          <w:sz w:val="20"/>
          <w:szCs w:val="20"/>
          <w:lang w:val="en-GB"/>
        </w:rPr>
        <w:t xml:space="preserve"> </w:t>
      </w:r>
    </w:p>
    <w:bookmarkEnd w:id="23"/>
    <w:p w14:paraId="502E8E7D" w14:textId="0D59872B" w:rsidR="000E4F10" w:rsidRPr="00065189" w:rsidRDefault="00B26B04" w:rsidP="00200929">
      <w:pPr>
        <w:spacing w:line="276" w:lineRule="auto"/>
        <w:jc w:val="both"/>
        <w:rPr>
          <w:rFonts w:cs="Arial"/>
          <w:bCs/>
          <w:szCs w:val="20"/>
          <w:lang w:val="en-GB"/>
        </w:rPr>
      </w:pPr>
      <w:r w:rsidRPr="00065189">
        <w:rPr>
          <w:rFonts w:cs="Arial"/>
          <w:bCs/>
          <w:szCs w:val="20"/>
          <w:lang w:val="en-GB"/>
        </w:rPr>
        <w:t>Units of local or regional government (municipalities, cities and counties) and companies, institutions and agencies owned or majority</w:t>
      </w:r>
      <w:r w:rsidR="00776D77" w:rsidRPr="00065189">
        <w:rPr>
          <w:rFonts w:cs="Arial"/>
          <w:bCs/>
          <w:szCs w:val="20"/>
          <w:lang w:val="en-GB"/>
        </w:rPr>
        <w:t xml:space="preserve"> </w:t>
      </w:r>
      <w:r w:rsidRPr="00065189">
        <w:rPr>
          <w:rFonts w:cs="Arial"/>
          <w:bCs/>
          <w:szCs w:val="20"/>
          <w:lang w:val="en-GB"/>
        </w:rPr>
        <w:t xml:space="preserve">owned by </w:t>
      </w:r>
      <w:r w:rsidR="005A782E" w:rsidRPr="00065189">
        <w:rPr>
          <w:rFonts w:cs="Arial"/>
          <w:bCs/>
          <w:szCs w:val="20"/>
          <w:lang w:val="en-GB"/>
        </w:rPr>
        <w:t>them</w:t>
      </w:r>
      <w:r w:rsidRPr="00065189">
        <w:rPr>
          <w:rFonts w:cs="Arial"/>
          <w:bCs/>
          <w:szCs w:val="20"/>
          <w:lang w:val="en-GB"/>
        </w:rPr>
        <w:t xml:space="preserve"> and/or </w:t>
      </w:r>
      <w:r w:rsidR="005A782E" w:rsidRPr="00065189">
        <w:rPr>
          <w:rFonts w:cs="Arial"/>
          <w:bCs/>
          <w:szCs w:val="20"/>
          <w:lang w:val="en-GB"/>
        </w:rPr>
        <w:t xml:space="preserve">owned or majority owned by </w:t>
      </w:r>
      <w:r w:rsidRPr="00065189">
        <w:rPr>
          <w:rFonts w:cs="Arial"/>
          <w:bCs/>
          <w:szCs w:val="20"/>
          <w:lang w:val="en-GB"/>
        </w:rPr>
        <w:t>the Republic of Croatia</w:t>
      </w:r>
      <w:r w:rsidR="000E4F10" w:rsidRPr="00065189">
        <w:rPr>
          <w:rFonts w:cs="Arial"/>
          <w:bCs/>
          <w:szCs w:val="20"/>
          <w:lang w:val="en-GB"/>
        </w:rPr>
        <w:t>.</w:t>
      </w:r>
    </w:p>
    <w:p w14:paraId="64F363E6" w14:textId="2502459A" w:rsidR="00ED4465" w:rsidRPr="00065189" w:rsidRDefault="007C6480" w:rsidP="001A4F54">
      <w:pPr>
        <w:pStyle w:val="HeadingA"/>
        <w:numPr>
          <w:ilvl w:val="1"/>
          <w:numId w:val="4"/>
        </w:numPr>
        <w:spacing w:after="240" w:line="276" w:lineRule="auto"/>
        <w:ind w:left="851" w:hanging="567"/>
        <w:outlineLvl w:val="1"/>
        <w:rPr>
          <w:rFonts w:ascii="Arial" w:hAnsi="Arial" w:cs="Arial"/>
          <w:sz w:val="20"/>
          <w:szCs w:val="20"/>
          <w:lang w:val="en-GB"/>
        </w:rPr>
      </w:pPr>
      <w:bookmarkStart w:id="25" w:name="_Toc137558515"/>
      <w:bookmarkStart w:id="26" w:name="_Hlk93343167"/>
      <w:bookmarkEnd w:id="15"/>
      <w:r w:rsidRPr="00065189">
        <w:rPr>
          <w:rFonts w:ascii="Arial" w:hAnsi="Arial" w:cs="Arial"/>
          <w:sz w:val="20"/>
          <w:szCs w:val="20"/>
          <w:lang w:val="en-GB"/>
        </w:rPr>
        <w:t>Special Target Groups</w:t>
      </w:r>
      <w:bookmarkEnd w:id="25"/>
    </w:p>
    <w:p w14:paraId="4AF211E4" w14:textId="78247A35" w:rsidR="002707B6" w:rsidRPr="00065189" w:rsidRDefault="00435EE4">
      <w:pPr>
        <w:pStyle w:val="HeadingA"/>
        <w:numPr>
          <w:ilvl w:val="0"/>
          <w:numId w:val="0"/>
        </w:numPr>
        <w:spacing w:before="240" w:after="0" w:line="276" w:lineRule="auto"/>
        <w:outlineLvl w:val="2"/>
        <w:rPr>
          <w:rFonts w:ascii="Arial" w:hAnsi="Arial" w:cs="Arial"/>
          <w:color w:val="auto"/>
          <w:sz w:val="20"/>
          <w:szCs w:val="20"/>
          <w:lang w:val="en-GB"/>
        </w:rPr>
      </w:pPr>
      <w:bookmarkStart w:id="27" w:name="_Toc137558516"/>
      <w:bookmarkEnd w:id="26"/>
      <w:r w:rsidRPr="00065189">
        <w:rPr>
          <w:rFonts w:ascii="Arial" w:hAnsi="Arial" w:cs="Arial"/>
          <w:color w:val="auto"/>
          <w:sz w:val="20"/>
          <w:szCs w:val="20"/>
          <w:lang w:val="en-GB"/>
        </w:rPr>
        <w:t xml:space="preserve">Young </w:t>
      </w:r>
      <w:r w:rsidR="0081636D" w:rsidRPr="00065189">
        <w:rPr>
          <w:rFonts w:ascii="Arial" w:hAnsi="Arial" w:cs="Arial"/>
          <w:color w:val="auto"/>
          <w:sz w:val="20"/>
          <w:szCs w:val="20"/>
          <w:lang w:val="en-GB"/>
        </w:rPr>
        <w:t>e</w:t>
      </w:r>
      <w:r w:rsidRPr="00065189">
        <w:rPr>
          <w:rFonts w:ascii="Arial" w:hAnsi="Arial" w:cs="Arial"/>
          <w:color w:val="auto"/>
          <w:sz w:val="20"/>
          <w:szCs w:val="20"/>
          <w:lang w:val="en-GB"/>
        </w:rPr>
        <w:t>ntrepreneurs</w:t>
      </w:r>
      <w:bookmarkEnd w:id="27"/>
    </w:p>
    <w:p w14:paraId="2D73EF17" w14:textId="143D2135" w:rsidR="0069737D" w:rsidRPr="00065189" w:rsidRDefault="00FA7AE5" w:rsidP="00FA7AE5">
      <w:pPr>
        <w:spacing w:line="276" w:lineRule="auto"/>
        <w:jc w:val="both"/>
        <w:rPr>
          <w:rFonts w:cs="Arial"/>
          <w:szCs w:val="20"/>
          <w:lang w:val="en-GB"/>
        </w:rPr>
      </w:pPr>
      <w:bookmarkStart w:id="28" w:name="_Hlk536779873"/>
      <w:bookmarkStart w:id="29" w:name="_Hlk530744351"/>
      <w:r w:rsidRPr="00065189">
        <w:rPr>
          <w:rFonts w:cs="Arial"/>
          <w:szCs w:val="20"/>
          <w:lang w:val="en-GB"/>
        </w:rPr>
        <w:t>Business entities in which at least one or several young persons (in the age group up to 40</w:t>
      </w:r>
      <w:r w:rsidR="00B95EF6" w:rsidRPr="00065189">
        <w:rPr>
          <w:rFonts w:cs="Arial"/>
          <w:szCs w:val="20"/>
          <w:lang w:val="en-GB"/>
        </w:rPr>
        <w:t xml:space="preserve"> </w:t>
      </w:r>
      <w:r w:rsidRPr="00065189">
        <w:rPr>
          <w:rFonts w:cs="Arial"/>
          <w:szCs w:val="20"/>
          <w:lang w:val="en-GB"/>
        </w:rPr>
        <w:t>years at the time of applying for a loan) together</w:t>
      </w:r>
      <w:r w:rsidR="00DE4B78" w:rsidRPr="00065189">
        <w:rPr>
          <w:rFonts w:cs="Arial"/>
          <w:szCs w:val="20"/>
          <w:lang w:val="en-GB"/>
        </w:rPr>
        <w:t xml:space="preserve"> have</w:t>
      </w:r>
      <w:r w:rsidR="003C4FA5" w:rsidRPr="00065189">
        <w:rPr>
          <w:rFonts w:cs="Arial"/>
          <w:szCs w:val="20"/>
          <w:lang w:val="en-GB"/>
        </w:rPr>
        <w:t xml:space="preserve"> mo</w:t>
      </w:r>
      <w:r w:rsidR="00152730" w:rsidRPr="00065189">
        <w:rPr>
          <w:rFonts w:cs="Arial"/>
          <w:szCs w:val="20"/>
          <w:lang w:val="en-GB"/>
        </w:rPr>
        <w:t xml:space="preserve">re than </w:t>
      </w:r>
      <w:r w:rsidRPr="00065189">
        <w:rPr>
          <w:rFonts w:cs="Arial"/>
          <w:szCs w:val="20"/>
          <w:lang w:val="en-GB"/>
        </w:rPr>
        <w:t>50% of ownersh</w:t>
      </w:r>
      <w:r w:rsidR="00740E39" w:rsidRPr="00065189">
        <w:rPr>
          <w:rFonts w:cs="Arial"/>
          <w:szCs w:val="20"/>
          <w:lang w:val="en-GB"/>
        </w:rPr>
        <w:t>ip</w:t>
      </w:r>
      <w:r w:rsidR="00941A73" w:rsidRPr="00065189">
        <w:rPr>
          <w:rFonts w:cs="Arial"/>
          <w:szCs w:val="20"/>
          <w:lang w:val="en-GB"/>
        </w:rPr>
        <w:t>.</w:t>
      </w:r>
    </w:p>
    <w:p w14:paraId="55F422F6" w14:textId="55529B64" w:rsidR="002707B6" w:rsidRPr="00065189" w:rsidRDefault="00435EE4">
      <w:pPr>
        <w:pStyle w:val="HeadingA"/>
        <w:numPr>
          <w:ilvl w:val="0"/>
          <w:numId w:val="0"/>
        </w:numPr>
        <w:spacing w:before="240" w:after="0" w:line="276" w:lineRule="auto"/>
        <w:outlineLvl w:val="2"/>
        <w:rPr>
          <w:rFonts w:ascii="Arial" w:hAnsi="Arial" w:cs="Arial"/>
          <w:color w:val="auto"/>
          <w:sz w:val="20"/>
          <w:szCs w:val="20"/>
          <w:lang w:val="en-GB"/>
        </w:rPr>
      </w:pPr>
      <w:bookmarkStart w:id="30" w:name="_Toc137558517"/>
      <w:bookmarkStart w:id="31" w:name="_Hlk93330212"/>
      <w:r w:rsidRPr="00065189">
        <w:rPr>
          <w:rFonts w:ascii="Arial" w:hAnsi="Arial" w:cs="Arial"/>
          <w:color w:val="auto"/>
          <w:sz w:val="20"/>
          <w:szCs w:val="20"/>
          <w:lang w:val="en-GB"/>
        </w:rPr>
        <w:t xml:space="preserve">Female </w:t>
      </w:r>
      <w:r w:rsidR="0081636D" w:rsidRPr="00065189">
        <w:rPr>
          <w:rFonts w:ascii="Arial" w:hAnsi="Arial" w:cs="Arial"/>
          <w:color w:val="auto"/>
          <w:sz w:val="20"/>
          <w:szCs w:val="20"/>
          <w:lang w:val="en-GB"/>
        </w:rPr>
        <w:t>e</w:t>
      </w:r>
      <w:r w:rsidRPr="00065189">
        <w:rPr>
          <w:rFonts w:ascii="Arial" w:hAnsi="Arial" w:cs="Arial"/>
          <w:color w:val="auto"/>
          <w:sz w:val="20"/>
          <w:szCs w:val="20"/>
          <w:lang w:val="en-GB"/>
        </w:rPr>
        <w:t>ntrepreneurs</w:t>
      </w:r>
      <w:bookmarkEnd w:id="30"/>
    </w:p>
    <w:p w14:paraId="631DC496" w14:textId="697AB4DC" w:rsidR="005C1CE0" w:rsidRPr="00065189" w:rsidRDefault="00B26113" w:rsidP="008D3A1F">
      <w:pPr>
        <w:spacing w:line="276" w:lineRule="auto"/>
        <w:jc w:val="both"/>
        <w:rPr>
          <w:rFonts w:cs="Arial"/>
          <w:b/>
          <w:szCs w:val="20"/>
          <w:lang w:val="en-GB"/>
        </w:rPr>
      </w:pPr>
      <w:bookmarkStart w:id="32" w:name="_Hlk1725227"/>
      <w:bookmarkEnd w:id="31"/>
      <w:r w:rsidRPr="00065189">
        <w:rPr>
          <w:rFonts w:cs="Arial"/>
          <w:szCs w:val="20"/>
          <w:lang w:val="en-GB"/>
        </w:rPr>
        <w:t>Business entities in which at least one or several women together have more than 50% of ownership and are also managed by a woman. In the case of a</w:t>
      </w:r>
      <w:r w:rsidR="00C34E1F" w:rsidRPr="00065189">
        <w:rPr>
          <w:rFonts w:cs="Arial"/>
          <w:szCs w:val="20"/>
          <w:lang w:val="en-GB"/>
        </w:rPr>
        <w:t>n enterprise that is not a micro or small enterprise,</w:t>
      </w:r>
      <w:r w:rsidR="007A2734" w:rsidRPr="00065189">
        <w:rPr>
          <w:rFonts w:cs="Arial"/>
          <w:szCs w:val="20"/>
          <w:lang w:val="en-GB"/>
        </w:rPr>
        <w:t xml:space="preserve"> a</w:t>
      </w:r>
      <w:r w:rsidRPr="00065189">
        <w:rPr>
          <w:rFonts w:cs="Arial"/>
          <w:szCs w:val="20"/>
          <w:lang w:val="en-GB"/>
        </w:rPr>
        <w:t xml:space="preserve"> woman or women together may have less than 50% of ownership, provided that at least one woman is in one of the key management positions related to finance and/or operational business and/or strateg</w:t>
      </w:r>
      <w:r w:rsidR="00894EB4" w:rsidRPr="00065189">
        <w:rPr>
          <w:rFonts w:cs="Arial"/>
          <w:szCs w:val="20"/>
          <w:lang w:val="en-GB"/>
        </w:rPr>
        <w:t>y</w:t>
      </w:r>
      <w:r w:rsidR="00944E75" w:rsidRPr="00065189">
        <w:rPr>
          <w:rFonts w:cs="Arial"/>
          <w:szCs w:val="20"/>
          <w:lang w:val="en-GB"/>
        </w:rPr>
        <w:t>.</w:t>
      </w:r>
      <w:r w:rsidR="005C1CE0" w:rsidRPr="00065189">
        <w:rPr>
          <w:rFonts w:cs="Arial"/>
          <w:szCs w:val="20"/>
          <w:lang w:val="en-GB"/>
        </w:rPr>
        <w:br w:type="page"/>
      </w:r>
    </w:p>
    <w:p w14:paraId="44FB6313" w14:textId="37F934DE" w:rsidR="002707B6" w:rsidRPr="00065189" w:rsidRDefault="00FF12DF">
      <w:pPr>
        <w:pStyle w:val="HeadingA"/>
        <w:numPr>
          <w:ilvl w:val="0"/>
          <w:numId w:val="0"/>
        </w:numPr>
        <w:spacing w:before="240" w:after="0" w:line="276" w:lineRule="auto"/>
        <w:outlineLvl w:val="2"/>
        <w:rPr>
          <w:rFonts w:ascii="Arial" w:hAnsi="Arial" w:cs="Arial"/>
          <w:color w:val="auto"/>
          <w:sz w:val="20"/>
          <w:szCs w:val="20"/>
          <w:lang w:val="en-GB"/>
        </w:rPr>
      </w:pPr>
      <w:bookmarkStart w:id="33" w:name="_Toc137558518"/>
      <w:r w:rsidRPr="00065189">
        <w:rPr>
          <w:rFonts w:ascii="Arial" w:hAnsi="Arial" w:cs="Arial"/>
          <w:color w:val="auto"/>
          <w:sz w:val="20"/>
          <w:szCs w:val="20"/>
          <w:lang w:val="en-GB"/>
        </w:rPr>
        <w:lastRenderedPageBreak/>
        <w:t xml:space="preserve">Start-up </w:t>
      </w:r>
      <w:r w:rsidR="0081636D" w:rsidRPr="00065189">
        <w:rPr>
          <w:rFonts w:ascii="Arial" w:hAnsi="Arial" w:cs="Arial"/>
          <w:color w:val="auto"/>
          <w:sz w:val="20"/>
          <w:szCs w:val="20"/>
          <w:lang w:val="en-GB"/>
        </w:rPr>
        <w:t>e</w:t>
      </w:r>
      <w:r w:rsidRPr="00065189">
        <w:rPr>
          <w:rFonts w:ascii="Arial" w:hAnsi="Arial" w:cs="Arial"/>
          <w:color w:val="auto"/>
          <w:sz w:val="20"/>
          <w:szCs w:val="20"/>
          <w:lang w:val="en-GB"/>
        </w:rPr>
        <w:t>ntrepreneurs</w:t>
      </w:r>
      <w:bookmarkEnd w:id="33"/>
    </w:p>
    <w:bookmarkEnd w:id="32"/>
    <w:p w14:paraId="6352440A" w14:textId="1E1A98AF" w:rsidR="00284C12" w:rsidRPr="00065189" w:rsidRDefault="00FF12DF" w:rsidP="00200929">
      <w:pPr>
        <w:spacing w:line="276" w:lineRule="auto"/>
        <w:jc w:val="both"/>
        <w:rPr>
          <w:rFonts w:cs="Arial"/>
          <w:szCs w:val="20"/>
          <w:lang w:val="en-GB"/>
        </w:rPr>
      </w:pPr>
      <w:r w:rsidRPr="00065189">
        <w:rPr>
          <w:rFonts w:cs="Arial"/>
          <w:szCs w:val="20"/>
          <w:lang w:val="en-GB"/>
        </w:rPr>
        <w:t xml:space="preserve">Entrepreneurs who establish a business entity for the first time, or business entities in the sector of micro, small and medium-sized entrepreneurship that have been operating for less than </w:t>
      </w:r>
      <w:r w:rsidR="00DB1325" w:rsidRPr="00065189">
        <w:rPr>
          <w:rFonts w:cs="Arial"/>
          <w:szCs w:val="20"/>
          <w:lang w:val="en-GB"/>
        </w:rPr>
        <w:t xml:space="preserve">3 </w:t>
      </w:r>
      <w:r w:rsidRPr="00065189">
        <w:rPr>
          <w:rFonts w:cs="Arial"/>
          <w:szCs w:val="20"/>
          <w:lang w:val="en-GB"/>
        </w:rPr>
        <w:t>(</w:t>
      </w:r>
      <w:r w:rsidR="00DB1325" w:rsidRPr="00065189">
        <w:rPr>
          <w:rFonts w:cs="Arial"/>
          <w:szCs w:val="20"/>
          <w:lang w:val="en-GB"/>
        </w:rPr>
        <w:t>three</w:t>
      </w:r>
      <w:r w:rsidRPr="00065189">
        <w:rPr>
          <w:rFonts w:cs="Arial"/>
          <w:szCs w:val="20"/>
          <w:lang w:val="en-GB"/>
        </w:rPr>
        <w:t>) years at the moment of submitting a loan application. Start-up</w:t>
      </w:r>
      <w:r w:rsidR="00EA0309" w:rsidRPr="00065189">
        <w:rPr>
          <w:rFonts w:cs="Arial"/>
          <w:szCs w:val="20"/>
          <w:lang w:val="en-GB"/>
        </w:rPr>
        <w:t xml:space="preserve"> entrepreneurs</w:t>
      </w:r>
      <w:r w:rsidRPr="00065189">
        <w:rPr>
          <w:rFonts w:cs="Arial"/>
          <w:szCs w:val="20"/>
          <w:lang w:val="en-GB"/>
        </w:rPr>
        <w:t xml:space="preserve"> have not owned or jointly owned before and do not currently own or jointly own a stake of more than 30 percent in another business entit</w:t>
      </w:r>
      <w:r w:rsidR="00DB1325" w:rsidRPr="00065189">
        <w:rPr>
          <w:rFonts w:cs="Arial"/>
          <w:szCs w:val="20"/>
          <w:lang w:val="en-GB"/>
        </w:rPr>
        <w:t>y</w:t>
      </w:r>
      <w:r w:rsidR="00941A73" w:rsidRPr="00065189">
        <w:rPr>
          <w:rFonts w:cs="Arial"/>
          <w:szCs w:val="20"/>
          <w:lang w:val="en-GB"/>
        </w:rPr>
        <w:t>.</w:t>
      </w:r>
    </w:p>
    <w:p w14:paraId="775616EC" w14:textId="1B045D1B" w:rsidR="00ED4465" w:rsidRPr="00065189" w:rsidRDefault="00783FE3">
      <w:pPr>
        <w:pStyle w:val="HeadingA"/>
        <w:numPr>
          <w:ilvl w:val="0"/>
          <w:numId w:val="0"/>
        </w:numPr>
        <w:spacing w:before="240" w:after="0" w:line="276" w:lineRule="auto"/>
        <w:outlineLvl w:val="2"/>
        <w:rPr>
          <w:rFonts w:cs="Arial"/>
          <w:b w:val="0"/>
          <w:bCs/>
          <w:color w:val="auto"/>
          <w:lang w:val="en-GB"/>
        </w:rPr>
      </w:pPr>
      <w:bookmarkStart w:id="34" w:name="_Toc137558519"/>
      <w:bookmarkStart w:id="35" w:name="_Hlk93619724"/>
      <w:r w:rsidRPr="00065189">
        <w:rPr>
          <w:rFonts w:ascii="Arial" w:hAnsi="Arial" w:cs="Arial"/>
          <w:color w:val="auto"/>
          <w:sz w:val="20"/>
          <w:szCs w:val="20"/>
          <w:lang w:val="en-GB"/>
        </w:rPr>
        <w:t>Market</w:t>
      </w:r>
      <w:r w:rsidR="00C22CD7" w:rsidRPr="00065189">
        <w:rPr>
          <w:rFonts w:ascii="Arial" w:hAnsi="Arial" w:cs="Arial"/>
          <w:color w:val="auto"/>
          <w:sz w:val="20"/>
          <w:szCs w:val="20"/>
          <w:lang w:val="en-GB"/>
        </w:rPr>
        <w:t xml:space="preserve"> </w:t>
      </w:r>
      <w:r w:rsidR="0081636D" w:rsidRPr="00065189">
        <w:rPr>
          <w:rFonts w:ascii="Arial" w:hAnsi="Arial" w:cs="Arial"/>
          <w:color w:val="auto"/>
          <w:sz w:val="20"/>
          <w:szCs w:val="20"/>
          <w:lang w:val="en-GB"/>
        </w:rPr>
        <w:t>c</w:t>
      </w:r>
      <w:r w:rsidRPr="00065189">
        <w:rPr>
          <w:rFonts w:ascii="Arial" w:hAnsi="Arial" w:cs="Arial"/>
          <w:color w:val="auto"/>
          <w:sz w:val="20"/>
          <w:szCs w:val="20"/>
          <w:lang w:val="en-GB"/>
        </w:rPr>
        <w:t xml:space="preserve">ompetitive </w:t>
      </w:r>
      <w:r w:rsidR="0081636D" w:rsidRPr="00065189">
        <w:rPr>
          <w:rFonts w:ascii="Arial" w:hAnsi="Arial" w:cs="Arial"/>
          <w:color w:val="auto"/>
          <w:sz w:val="20"/>
          <w:szCs w:val="20"/>
          <w:lang w:val="en-GB"/>
        </w:rPr>
        <w:t>b</w:t>
      </w:r>
      <w:r w:rsidRPr="00065189">
        <w:rPr>
          <w:rFonts w:ascii="Arial" w:hAnsi="Arial" w:cs="Arial"/>
          <w:color w:val="auto"/>
          <w:sz w:val="20"/>
          <w:szCs w:val="20"/>
          <w:lang w:val="en-GB"/>
        </w:rPr>
        <w:t xml:space="preserve">usiness </w:t>
      </w:r>
      <w:r w:rsidR="0081636D" w:rsidRPr="00065189">
        <w:rPr>
          <w:rFonts w:ascii="Arial" w:hAnsi="Arial" w:cs="Arial"/>
          <w:color w:val="auto"/>
          <w:sz w:val="20"/>
          <w:szCs w:val="20"/>
          <w:lang w:val="en-GB"/>
        </w:rPr>
        <w:t>e</w:t>
      </w:r>
      <w:r w:rsidRPr="00065189">
        <w:rPr>
          <w:rFonts w:ascii="Arial" w:hAnsi="Arial" w:cs="Arial"/>
          <w:color w:val="auto"/>
          <w:sz w:val="20"/>
          <w:szCs w:val="20"/>
          <w:lang w:val="en-GB"/>
        </w:rPr>
        <w:t>ntities</w:t>
      </w:r>
      <w:bookmarkEnd w:id="34"/>
    </w:p>
    <w:bookmarkEnd w:id="28"/>
    <w:bookmarkEnd w:id="29"/>
    <w:bookmarkEnd w:id="35"/>
    <w:p w14:paraId="3A559BF4" w14:textId="0EE4CA38" w:rsidR="008207EB" w:rsidRPr="00065189" w:rsidRDefault="00C22CD7" w:rsidP="00655642">
      <w:pPr>
        <w:pStyle w:val="BodyText"/>
        <w:spacing w:line="276" w:lineRule="auto"/>
        <w:jc w:val="both"/>
        <w:rPr>
          <w:rFonts w:ascii="Arial" w:hAnsi="Arial" w:cs="Arial"/>
          <w:sz w:val="20"/>
          <w:lang w:val="en-GB"/>
        </w:rPr>
      </w:pPr>
      <w:r w:rsidRPr="00065189">
        <w:rPr>
          <w:rFonts w:ascii="Arial" w:hAnsi="Arial" w:cs="Arial"/>
          <w:sz w:val="20"/>
          <w:lang w:val="en-GB"/>
        </w:rPr>
        <w:t>M</w:t>
      </w:r>
      <w:r w:rsidR="00783FE3" w:rsidRPr="00065189">
        <w:rPr>
          <w:rFonts w:ascii="Arial" w:hAnsi="Arial" w:cs="Arial"/>
          <w:sz w:val="20"/>
          <w:lang w:val="en-GB"/>
        </w:rPr>
        <w:t>arket competitiveness i</w:t>
      </w:r>
      <w:r w:rsidRPr="00065189">
        <w:rPr>
          <w:rFonts w:ascii="Arial" w:hAnsi="Arial" w:cs="Arial"/>
          <w:sz w:val="20"/>
          <w:lang w:val="en-GB"/>
        </w:rPr>
        <w:t xml:space="preserve">s </w:t>
      </w:r>
      <w:r w:rsidR="00783FE3" w:rsidRPr="00065189">
        <w:rPr>
          <w:rFonts w:ascii="Arial" w:hAnsi="Arial" w:cs="Arial"/>
          <w:sz w:val="20"/>
          <w:lang w:val="en-GB"/>
        </w:rPr>
        <w:t xml:space="preserve">assessed by applying and meeting </w:t>
      </w:r>
      <w:r w:rsidRPr="00065189">
        <w:rPr>
          <w:rFonts w:ascii="Arial" w:hAnsi="Arial" w:cs="Arial"/>
          <w:sz w:val="20"/>
          <w:lang w:val="en-GB"/>
        </w:rPr>
        <w:t xml:space="preserve">all of </w:t>
      </w:r>
      <w:r w:rsidR="00783FE3" w:rsidRPr="00065189">
        <w:rPr>
          <w:rFonts w:ascii="Arial" w:hAnsi="Arial" w:cs="Arial"/>
          <w:sz w:val="20"/>
          <w:lang w:val="en-GB"/>
        </w:rPr>
        <w:t>the following criteri</w:t>
      </w:r>
      <w:r w:rsidRPr="00065189">
        <w:rPr>
          <w:rFonts w:ascii="Arial" w:hAnsi="Arial" w:cs="Arial"/>
          <w:sz w:val="20"/>
          <w:lang w:val="en-GB"/>
        </w:rPr>
        <w:t>a</w:t>
      </w:r>
      <w:r w:rsidR="008207EB" w:rsidRPr="00065189">
        <w:rPr>
          <w:rFonts w:ascii="Arial" w:hAnsi="Arial" w:cs="Arial"/>
          <w:sz w:val="20"/>
          <w:lang w:val="en-GB"/>
        </w:rPr>
        <w:t>:</w:t>
      </w:r>
    </w:p>
    <w:p w14:paraId="66102161" w14:textId="54F4E7BD" w:rsidR="00772B92" w:rsidRPr="00065189" w:rsidRDefault="00BE0103" w:rsidP="00772B92">
      <w:pPr>
        <w:pStyle w:val="Style30"/>
        <w:numPr>
          <w:ilvl w:val="0"/>
          <w:numId w:val="3"/>
        </w:numPr>
        <w:shd w:val="clear" w:color="auto" w:fill="auto"/>
        <w:spacing w:before="0" w:after="0" w:line="276" w:lineRule="auto"/>
        <w:ind w:left="567" w:hanging="408"/>
        <w:rPr>
          <w:rFonts w:ascii="Arial" w:hAnsi="Arial" w:cs="Arial"/>
          <w:bCs/>
          <w:sz w:val="20"/>
          <w:szCs w:val="20"/>
          <w:lang w:val="en-GB"/>
        </w:rPr>
      </w:pPr>
      <w:r w:rsidRPr="00065189">
        <w:rPr>
          <w:rFonts w:ascii="Arial" w:hAnsi="Arial" w:cs="Arial"/>
          <w:sz w:val="20"/>
          <w:szCs w:val="20"/>
          <w:lang w:val="en-GB"/>
        </w:rPr>
        <w:t>Operating income</w:t>
      </w:r>
      <w:r w:rsidR="00772B92" w:rsidRPr="00065189">
        <w:rPr>
          <w:rFonts w:ascii="Arial" w:hAnsi="Arial" w:cs="Arial"/>
          <w:sz w:val="20"/>
          <w:szCs w:val="20"/>
          <w:lang w:val="en-GB"/>
        </w:rPr>
        <w:t>/revenue</w:t>
      </w:r>
      <w:r w:rsidRPr="00065189">
        <w:rPr>
          <w:rFonts w:ascii="Arial" w:hAnsi="Arial" w:cs="Arial"/>
          <w:sz w:val="20"/>
          <w:szCs w:val="20"/>
          <w:lang w:val="en-GB"/>
        </w:rPr>
        <w:t xml:space="preserve"> exceeds operating expenses</w:t>
      </w:r>
      <w:r w:rsidR="00772B92" w:rsidRPr="00065189">
        <w:rPr>
          <w:rFonts w:ascii="Arial" w:hAnsi="Arial" w:cs="Arial"/>
          <w:sz w:val="20"/>
          <w:szCs w:val="20"/>
          <w:lang w:val="en-GB"/>
        </w:rPr>
        <w:t>/expenditures</w:t>
      </w:r>
      <w:r w:rsidR="0056628B" w:rsidRPr="00065189">
        <w:rPr>
          <w:rFonts w:ascii="Arial" w:hAnsi="Arial" w:cs="Arial"/>
          <w:sz w:val="20"/>
          <w:szCs w:val="20"/>
          <w:lang w:val="en-GB"/>
        </w:rPr>
        <w:t xml:space="preserve"> in the preceding year</w:t>
      </w:r>
      <w:r w:rsidRPr="00065189">
        <w:rPr>
          <w:rFonts w:ascii="Arial" w:hAnsi="Arial" w:cs="Arial"/>
          <w:sz w:val="20"/>
          <w:szCs w:val="20"/>
          <w:lang w:val="en-GB"/>
        </w:rPr>
        <w:t>,</w:t>
      </w:r>
    </w:p>
    <w:p w14:paraId="1E006062" w14:textId="77777777" w:rsidR="00772B92" w:rsidRPr="00065189" w:rsidRDefault="00BE0103" w:rsidP="00772B92">
      <w:pPr>
        <w:pStyle w:val="Style30"/>
        <w:numPr>
          <w:ilvl w:val="0"/>
          <w:numId w:val="3"/>
        </w:numPr>
        <w:shd w:val="clear" w:color="auto" w:fill="auto"/>
        <w:spacing w:before="0" w:after="0" w:line="276" w:lineRule="auto"/>
        <w:ind w:left="567" w:hanging="408"/>
        <w:rPr>
          <w:rFonts w:ascii="Arial" w:hAnsi="Arial" w:cs="Arial"/>
          <w:bCs/>
          <w:sz w:val="20"/>
          <w:szCs w:val="20"/>
          <w:lang w:val="en-GB"/>
        </w:rPr>
      </w:pPr>
      <w:r w:rsidRPr="00065189">
        <w:rPr>
          <w:rFonts w:ascii="Arial" w:hAnsi="Arial" w:cs="Arial"/>
          <w:sz w:val="20"/>
          <w:szCs w:val="20"/>
          <w:lang w:val="en-GB"/>
        </w:rPr>
        <w:t>Current liquidity higher than 0.</w:t>
      </w:r>
      <w:r w:rsidR="00772B92" w:rsidRPr="00065189">
        <w:rPr>
          <w:rFonts w:ascii="Arial" w:hAnsi="Arial" w:cs="Arial"/>
          <w:sz w:val="20"/>
          <w:szCs w:val="20"/>
          <w:lang w:val="en-GB"/>
        </w:rPr>
        <w:t>6</w:t>
      </w:r>
      <w:r w:rsidRPr="00065189">
        <w:rPr>
          <w:rFonts w:ascii="Arial" w:hAnsi="Arial" w:cs="Arial"/>
          <w:sz w:val="20"/>
          <w:szCs w:val="20"/>
          <w:lang w:val="en-GB"/>
        </w:rPr>
        <w:t xml:space="preserve"> (short-term assets /short-term liabilities),</w:t>
      </w:r>
    </w:p>
    <w:p w14:paraId="3F08A721" w14:textId="77777777" w:rsidR="00772B92" w:rsidRPr="00065189" w:rsidRDefault="00BE0103" w:rsidP="00772B92">
      <w:pPr>
        <w:pStyle w:val="Style30"/>
        <w:numPr>
          <w:ilvl w:val="0"/>
          <w:numId w:val="3"/>
        </w:numPr>
        <w:shd w:val="clear" w:color="auto" w:fill="auto"/>
        <w:spacing w:before="0" w:after="0" w:line="276" w:lineRule="auto"/>
        <w:ind w:left="567" w:hanging="408"/>
        <w:rPr>
          <w:rFonts w:ascii="Arial" w:hAnsi="Arial" w:cs="Arial"/>
          <w:bCs/>
          <w:sz w:val="20"/>
          <w:szCs w:val="20"/>
          <w:lang w:val="en-GB"/>
        </w:rPr>
      </w:pPr>
      <w:r w:rsidRPr="00065189">
        <w:rPr>
          <w:rFonts w:ascii="Arial" w:hAnsi="Arial" w:cs="Arial"/>
          <w:sz w:val="20"/>
          <w:szCs w:val="20"/>
          <w:lang w:val="en-GB"/>
        </w:rPr>
        <w:t>Long-term financial stability ratio lower than 1.2 (long-term assets against capital, reserves and long-term liabilities),</w:t>
      </w:r>
    </w:p>
    <w:p w14:paraId="7F49A040" w14:textId="56C2C346" w:rsidR="0051405D" w:rsidRPr="00065189" w:rsidRDefault="00BE0103" w:rsidP="00C1612E">
      <w:pPr>
        <w:pStyle w:val="Style30"/>
        <w:numPr>
          <w:ilvl w:val="0"/>
          <w:numId w:val="3"/>
        </w:numPr>
        <w:shd w:val="clear" w:color="auto" w:fill="auto"/>
        <w:spacing w:before="0" w:after="0" w:line="276" w:lineRule="auto"/>
        <w:ind w:left="567" w:hanging="408"/>
        <w:rPr>
          <w:rFonts w:ascii="Arial" w:hAnsi="Arial" w:cs="Arial"/>
          <w:sz w:val="20"/>
          <w:szCs w:val="20"/>
          <w:lang w:val="en-GB"/>
        </w:rPr>
      </w:pPr>
      <w:r w:rsidRPr="00065189">
        <w:rPr>
          <w:rFonts w:ascii="Arial" w:hAnsi="Arial" w:cs="Arial"/>
          <w:sz w:val="20"/>
          <w:szCs w:val="20"/>
          <w:lang w:val="en-GB"/>
        </w:rPr>
        <w:t xml:space="preserve">Reduced currency-induced credit risk (at least </w:t>
      </w:r>
      <w:r w:rsidR="00772B92" w:rsidRPr="00065189">
        <w:rPr>
          <w:rFonts w:ascii="Arial" w:hAnsi="Arial" w:cs="Arial"/>
          <w:sz w:val="20"/>
          <w:szCs w:val="20"/>
          <w:lang w:val="en-GB"/>
        </w:rPr>
        <w:t>5</w:t>
      </w:r>
      <w:r w:rsidRPr="00065189">
        <w:rPr>
          <w:rFonts w:ascii="Arial" w:hAnsi="Arial" w:cs="Arial"/>
          <w:sz w:val="20"/>
          <w:szCs w:val="20"/>
          <w:lang w:val="en-GB"/>
        </w:rPr>
        <w:t>% of operating income</w:t>
      </w:r>
      <w:r w:rsidR="00772B92" w:rsidRPr="00065189">
        <w:rPr>
          <w:rFonts w:ascii="Arial" w:hAnsi="Arial" w:cs="Arial"/>
          <w:sz w:val="20"/>
          <w:szCs w:val="20"/>
          <w:lang w:val="en-GB"/>
        </w:rPr>
        <w:t>/revenue</w:t>
      </w:r>
      <w:r w:rsidR="00B42B75" w:rsidRPr="00065189">
        <w:rPr>
          <w:rFonts w:ascii="Arial" w:hAnsi="Arial" w:cs="Arial"/>
          <w:sz w:val="20"/>
          <w:szCs w:val="20"/>
          <w:lang w:val="en-GB"/>
        </w:rPr>
        <w:t>s</w:t>
      </w:r>
      <w:r w:rsidRPr="00065189">
        <w:rPr>
          <w:rFonts w:ascii="Arial" w:hAnsi="Arial" w:cs="Arial"/>
          <w:sz w:val="20"/>
          <w:szCs w:val="20"/>
          <w:lang w:val="en-GB"/>
        </w:rPr>
        <w:t xml:space="preserve"> generated in foreign </w:t>
      </w:r>
      <w:r w:rsidR="00772B92" w:rsidRPr="00065189">
        <w:rPr>
          <w:rFonts w:ascii="Arial" w:hAnsi="Arial" w:cs="Arial"/>
          <w:sz w:val="20"/>
          <w:szCs w:val="20"/>
          <w:lang w:val="en-GB"/>
        </w:rPr>
        <w:t xml:space="preserve">or international </w:t>
      </w:r>
      <w:r w:rsidRPr="00065189">
        <w:rPr>
          <w:rFonts w:ascii="Arial" w:hAnsi="Arial" w:cs="Arial"/>
          <w:sz w:val="20"/>
          <w:szCs w:val="20"/>
          <w:lang w:val="en-GB"/>
        </w:rPr>
        <w:t xml:space="preserve">markets or at least </w:t>
      </w:r>
      <w:r w:rsidR="00772B92" w:rsidRPr="00065189">
        <w:rPr>
          <w:rFonts w:ascii="Arial" w:hAnsi="Arial" w:cs="Arial"/>
          <w:sz w:val="20"/>
          <w:szCs w:val="20"/>
          <w:lang w:val="en-GB"/>
        </w:rPr>
        <w:t>5</w:t>
      </w:r>
      <w:r w:rsidRPr="00065189">
        <w:rPr>
          <w:rFonts w:ascii="Arial" w:hAnsi="Arial" w:cs="Arial"/>
          <w:sz w:val="20"/>
          <w:szCs w:val="20"/>
          <w:lang w:val="en-GB"/>
        </w:rPr>
        <w:t xml:space="preserve">% </w:t>
      </w:r>
      <w:r w:rsidR="007D2D74" w:rsidRPr="00065189">
        <w:rPr>
          <w:rFonts w:ascii="Arial" w:hAnsi="Arial" w:cs="Arial"/>
          <w:sz w:val="20"/>
          <w:szCs w:val="20"/>
          <w:lang w:val="en-GB"/>
        </w:rPr>
        <w:t>of</w:t>
      </w:r>
      <w:r w:rsidR="00EF2C05" w:rsidRPr="00065189">
        <w:rPr>
          <w:rFonts w:ascii="Arial" w:hAnsi="Arial" w:cs="Arial"/>
          <w:sz w:val="20"/>
          <w:szCs w:val="20"/>
          <w:lang w:val="en-GB"/>
        </w:rPr>
        <w:t xml:space="preserve"> </w:t>
      </w:r>
      <w:r w:rsidRPr="00065189">
        <w:rPr>
          <w:rFonts w:ascii="Arial" w:hAnsi="Arial" w:cs="Arial"/>
          <w:sz w:val="20"/>
          <w:szCs w:val="20"/>
          <w:lang w:val="en-GB"/>
        </w:rPr>
        <w:t>foreign tourist overnight stays in total overnight stays</w:t>
      </w:r>
      <w:r w:rsidR="00772B92" w:rsidRPr="00065189">
        <w:rPr>
          <w:rFonts w:ascii="Arial" w:hAnsi="Arial" w:cs="Arial"/>
          <w:sz w:val="20"/>
          <w:szCs w:val="20"/>
          <w:lang w:val="en-GB"/>
        </w:rPr>
        <w:t xml:space="preserve"> in the preceding business year</w:t>
      </w:r>
      <w:r w:rsidR="0051405D" w:rsidRPr="00065189">
        <w:rPr>
          <w:rFonts w:ascii="Arial" w:hAnsi="Arial" w:cs="Arial"/>
          <w:sz w:val="20"/>
          <w:szCs w:val="20"/>
          <w:lang w:val="en-GB"/>
        </w:rPr>
        <w:t>).</w:t>
      </w:r>
    </w:p>
    <w:p w14:paraId="0A2ED69E" w14:textId="3FC92C1E" w:rsidR="0051405D" w:rsidRPr="00065189" w:rsidRDefault="00772B92" w:rsidP="00165D23">
      <w:pPr>
        <w:spacing w:before="120" w:line="276" w:lineRule="auto"/>
        <w:jc w:val="both"/>
        <w:rPr>
          <w:rFonts w:eastAsia="Times New Roman" w:cs="Arial"/>
          <w:szCs w:val="20"/>
          <w:lang w:val="en-GB" w:eastAsia="hr-HR"/>
        </w:rPr>
      </w:pPr>
      <w:r w:rsidRPr="00065189">
        <w:rPr>
          <w:rFonts w:cs="Arial"/>
          <w:szCs w:val="20"/>
          <w:lang w:val="en-GB"/>
        </w:rPr>
        <w:t>As an exception, b</w:t>
      </w:r>
      <w:r w:rsidR="00165D23" w:rsidRPr="00065189">
        <w:rPr>
          <w:rFonts w:cs="Arial"/>
          <w:szCs w:val="20"/>
          <w:lang w:val="en-GB"/>
        </w:rPr>
        <w:t>orrowers</w:t>
      </w:r>
      <w:r w:rsidR="00783FE3" w:rsidRPr="00065189">
        <w:rPr>
          <w:rFonts w:cs="Arial"/>
          <w:szCs w:val="20"/>
          <w:lang w:val="en-GB"/>
        </w:rPr>
        <w:t xml:space="preserve"> renting beds or offering accommodation services to guests may, alternatively, instead of the criteria referred to in </w:t>
      </w:r>
      <w:r w:rsidR="00815986" w:rsidRPr="00065189">
        <w:rPr>
          <w:rFonts w:cs="Arial"/>
          <w:szCs w:val="20"/>
          <w:lang w:val="en-GB"/>
        </w:rPr>
        <w:t>indent</w:t>
      </w:r>
      <w:r w:rsidR="00783FE3" w:rsidRPr="00065189">
        <w:rPr>
          <w:rFonts w:cs="Arial"/>
          <w:szCs w:val="20"/>
          <w:lang w:val="en-GB"/>
        </w:rPr>
        <w:t xml:space="preserve">s </w:t>
      </w:r>
      <w:r w:rsidR="007D21D0" w:rsidRPr="00065189">
        <w:rPr>
          <w:rFonts w:cs="Arial"/>
          <w:szCs w:val="20"/>
          <w:lang w:val="en-GB"/>
        </w:rPr>
        <w:t>2</w:t>
      </w:r>
      <w:r w:rsidR="00783FE3" w:rsidRPr="00065189">
        <w:rPr>
          <w:rFonts w:cs="Arial"/>
          <w:szCs w:val="20"/>
          <w:lang w:val="en-GB"/>
        </w:rPr>
        <w:t xml:space="preserve">) and </w:t>
      </w:r>
      <w:r w:rsidR="007D21D0" w:rsidRPr="00065189">
        <w:rPr>
          <w:rFonts w:cs="Arial"/>
          <w:szCs w:val="20"/>
          <w:lang w:val="en-GB"/>
        </w:rPr>
        <w:t>3</w:t>
      </w:r>
      <w:r w:rsidR="00783FE3" w:rsidRPr="00065189">
        <w:rPr>
          <w:rFonts w:cs="Arial"/>
          <w:szCs w:val="20"/>
          <w:lang w:val="en-GB"/>
        </w:rPr>
        <w:t xml:space="preserve">), use the criterion of a 30% minimum share </w:t>
      </w:r>
      <w:r w:rsidR="007D21D0" w:rsidRPr="00065189">
        <w:rPr>
          <w:rFonts w:cs="Arial"/>
          <w:szCs w:val="20"/>
          <w:lang w:val="en-GB"/>
        </w:rPr>
        <w:t>in</w:t>
      </w:r>
      <w:r w:rsidR="00783FE3" w:rsidRPr="00065189">
        <w:rPr>
          <w:rFonts w:cs="Arial"/>
          <w:szCs w:val="20"/>
          <w:lang w:val="en-GB"/>
        </w:rPr>
        <w:t xml:space="preserve"> capital, reserves and retained profits on the liabilities side of the balance sheet</w:t>
      </w:r>
      <w:r w:rsidR="0051405D" w:rsidRPr="00065189">
        <w:rPr>
          <w:rFonts w:cs="Arial"/>
          <w:szCs w:val="20"/>
          <w:lang w:val="en-GB"/>
        </w:rPr>
        <w:t>.</w:t>
      </w:r>
      <w:r w:rsidR="00792778" w:rsidRPr="00065189">
        <w:rPr>
          <w:rFonts w:eastAsia="Times New Roman" w:cs="Arial"/>
          <w:szCs w:val="20"/>
          <w:lang w:val="en-GB" w:eastAsia="hr-HR"/>
        </w:rPr>
        <w:t xml:space="preserve"> </w:t>
      </w:r>
      <w:r w:rsidR="00165D23" w:rsidRPr="00065189">
        <w:rPr>
          <w:rFonts w:eastAsia="Times New Roman" w:cs="Arial"/>
          <w:szCs w:val="20"/>
          <w:lang w:val="en-GB" w:eastAsia="hr-HR"/>
        </w:rPr>
        <w:t xml:space="preserve">If </w:t>
      </w:r>
      <w:r w:rsidR="00815986" w:rsidRPr="00065189">
        <w:rPr>
          <w:rFonts w:eastAsia="Times New Roman" w:cs="Arial"/>
          <w:szCs w:val="20"/>
          <w:lang w:val="en-GB" w:eastAsia="hr-HR"/>
        </w:rPr>
        <w:t>a</w:t>
      </w:r>
      <w:r w:rsidR="00165D23" w:rsidRPr="00065189">
        <w:rPr>
          <w:rFonts w:eastAsia="Times New Roman" w:cs="Arial"/>
          <w:szCs w:val="20"/>
          <w:lang w:val="en-GB" w:eastAsia="hr-HR"/>
        </w:rPr>
        <w:t xml:space="preserve"> borrower generates income/revenues of less than 5% of operating income/revenues in foreign or</w:t>
      </w:r>
      <w:r w:rsidR="00815986" w:rsidRPr="00065189">
        <w:rPr>
          <w:rFonts w:eastAsia="Times New Roman" w:cs="Arial"/>
          <w:szCs w:val="20"/>
          <w:lang w:val="en-GB" w:eastAsia="hr-HR"/>
        </w:rPr>
        <w:t xml:space="preserve"> </w:t>
      </w:r>
      <w:r w:rsidR="00165D23" w:rsidRPr="00065189">
        <w:rPr>
          <w:rFonts w:eastAsia="Times New Roman" w:cs="Arial"/>
          <w:szCs w:val="20"/>
          <w:lang w:val="en-GB" w:eastAsia="hr-HR"/>
        </w:rPr>
        <w:t xml:space="preserve">international markets and is a member of </w:t>
      </w:r>
      <w:r w:rsidR="00815986" w:rsidRPr="00065189">
        <w:rPr>
          <w:rFonts w:eastAsia="Times New Roman" w:cs="Arial"/>
          <w:szCs w:val="20"/>
          <w:lang w:val="en-GB" w:eastAsia="hr-HR"/>
        </w:rPr>
        <w:t>a</w:t>
      </w:r>
      <w:r w:rsidR="00165D23" w:rsidRPr="00065189">
        <w:rPr>
          <w:rFonts w:eastAsia="Times New Roman" w:cs="Arial"/>
          <w:szCs w:val="20"/>
          <w:lang w:val="en-GB" w:eastAsia="hr-HR"/>
        </w:rPr>
        <w:t xml:space="preserve"> group that generates more than 5% of operating</w:t>
      </w:r>
      <w:r w:rsidR="00815986" w:rsidRPr="00065189">
        <w:rPr>
          <w:rFonts w:eastAsia="Times New Roman" w:cs="Arial"/>
          <w:szCs w:val="20"/>
          <w:lang w:val="en-GB" w:eastAsia="hr-HR"/>
        </w:rPr>
        <w:t xml:space="preserve"> </w:t>
      </w:r>
      <w:r w:rsidR="00165D23" w:rsidRPr="00065189">
        <w:rPr>
          <w:rFonts w:eastAsia="Times New Roman" w:cs="Arial"/>
          <w:szCs w:val="20"/>
          <w:lang w:val="en-GB" w:eastAsia="hr-HR"/>
        </w:rPr>
        <w:t>income/revenues in foreign or international markets, as documented in the consolidated financial statements</w:t>
      </w:r>
      <w:r w:rsidR="00815986" w:rsidRPr="00065189">
        <w:rPr>
          <w:rFonts w:eastAsia="Times New Roman" w:cs="Arial"/>
          <w:szCs w:val="20"/>
          <w:lang w:val="en-GB" w:eastAsia="hr-HR"/>
        </w:rPr>
        <w:t xml:space="preserve"> o</w:t>
      </w:r>
      <w:r w:rsidR="00165D23" w:rsidRPr="00065189">
        <w:rPr>
          <w:rFonts w:eastAsia="Times New Roman" w:cs="Arial"/>
          <w:szCs w:val="20"/>
          <w:lang w:val="en-GB" w:eastAsia="hr-HR"/>
        </w:rPr>
        <w:t>f the group, the criterion of reduced currency-induced credit risk will be considered fulfilled</w:t>
      </w:r>
      <w:r w:rsidR="0051405D" w:rsidRPr="00065189">
        <w:rPr>
          <w:rFonts w:eastAsia="Times New Roman" w:cs="Arial"/>
          <w:szCs w:val="20"/>
          <w:lang w:val="en-GB" w:eastAsia="hr-HR"/>
        </w:rPr>
        <w:t>.</w:t>
      </w:r>
    </w:p>
    <w:p w14:paraId="08F03D48" w14:textId="6E989B00" w:rsidR="0051405D" w:rsidRPr="00065189" w:rsidRDefault="004F6950" w:rsidP="004F6950">
      <w:pPr>
        <w:spacing w:before="120" w:line="276" w:lineRule="auto"/>
        <w:jc w:val="both"/>
        <w:rPr>
          <w:rFonts w:eastAsia="Times New Roman" w:cs="Arial"/>
          <w:szCs w:val="20"/>
          <w:lang w:val="en-GB" w:eastAsia="hr-HR"/>
        </w:rPr>
      </w:pPr>
      <w:r w:rsidRPr="00065189">
        <w:rPr>
          <w:rFonts w:eastAsia="Times New Roman" w:cs="Arial"/>
          <w:szCs w:val="20"/>
          <w:lang w:val="en-GB" w:eastAsia="hr-HR"/>
        </w:rPr>
        <w:t>The documents for establishing the above criteria are the financial statements of entrepreneurs for the</w:t>
      </w:r>
      <w:r w:rsidR="00815986" w:rsidRPr="00065189">
        <w:rPr>
          <w:rFonts w:eastAsia="Times New Roman" w:cs="Arial"/>
          <w:szCs w:val="20"/>
          <w:lang w:val="en-GB" w:eastAsia="hr-HR"/>
        </w:rPr>
        <w:t xml:space="preserve"> </w:t>
      </w:r>
      <w:r w:rsidR="00E31DA3" w:rsidRPr="00065189">
        <w:rPr>
          <w:rFonts w:eastAsia="Times New Roman" w:cs="Arial"/>
          <w:szCs w:val="20"/>
          <w:lang w:val="en-GB" w:eastAsia="hr-HR"/>
        </w:rPr>
        <w:t xml:space="preserve">preceding </w:t>
      </w:r>
      <w:r w:rsidRPr="00065189">
        <w:rPr>
          <w:rFonts w:eastAsia="Times New Roman" w:cs="Arial"/>
          <w:szCs w:val="20"/>
          <w:lang w:val="en-GB" w:eastAsia="hr-HR"/>
        </w:rPr>
        <w:t>business year (balance sheet and profit or loss account, and for crafts businesses: income tax</w:t>
      </w:r>
      <w:r w:rsidR="00815986" w:rsidRPr="00065189">
        <w:rPr>
          <w:rFonts w:eastAsia="Times New Roman" w:cs="Arial"/>
          <w:szCs w:val="20"/>
          <w:lang w:val="en-GB" w:eastAsia="hr-HR"/>
        </w:rPr>
        <w:t xml:space="preserve"> </w:t>
      </w:r>
      <w:r w:rsidRPr="00065189">
        <w:rPr>
          <w:rFonts w:eastAsia="Times New Roman" w:cs="Arial"/>
          <w:szCs w:val="20"/>
          <w:lang w:val="en-GB" w:eastAsia="hr-HR"/>
        </w:rPr>
        <w:t xml:space="preserve">return, certified by competent persons) and for borrowers </w:t>
      </w:r>
      <w:r w:rsidR="00815986" w:rsidRPr="00065189">
        <w:rPr>
          <w:rFonts w:eastAsia="Times New Roman" w:cs="Arial"/>
          <w:szCs w:val="20"/>
          <w:lang w:val="en-GB" w:eastAsia="hr-HR"/>
        </w:rPr>
        <w:t>in</w:t>
      </w:r>
      <w:r w:rsidRPr="00065189">
        <w:rPr>
          <w:rFonts w:eastAsia="Times New Roman" w:cs="Arial"/>
          <w:szCs w:val="20"/>
          <w:lang w:val="en-GB" w:eastAsia="hr-HR"/>
        </w:rPr>
        <w:t xml:space="preserve"> the touris</w:t>
      </w:r>
      <w:r w:rsidR="00815986" w:rsidRPr="00065189">
        <w:rPr>
          <w:rFonts w:eastAsia="Times New Roman" w:cs="Arial"/>
          <w:szCs w:val="20"/>
          <w:lang w:val="en-GB" w:eastAsia="hr-HR"/>
        </w:rPr>
        <w:t>m</w:t>
      </w:r>
      <w:r w:rsidRPr="00065189">
        <w:rPr>
          <w:rFonts w:eastAsia="Times New Roman" w:cs="Arial"/>
          <w:szCs w:val="20"/>
          <w:lang w:val="en-GB" w:eastAsia="hr-HR"/>
        </w:rPr>
        <w:t xml:space="preserve"> industry: statistical data on tourist</w:t>
      </w:r>
      <w:r w:rsidR="00815986" w:rsidRPr="00065189">
        <w:rPr>
          <w:rFonts w:eastAsia="Times New Roman" w:cs="Arial"/>
          <w:szCs w:val="20"/>
          <w:lang w:val="en-GB" w:eastAsia="hr-HR"/>
        </w:rPr>
        <w:t xml:space="preserve"> </w:t>
      </w:r>
      <w:r w:rsidRPr="00065189">
        <w:rPr>
          <w:rFonts w:eastAsia="Times New Roman" w:cs="Arial"/>
          <w:szCs w:val="20"/>
          <w:lang w:val="en-GB" w:eastAsia="hr-HR"/>
        </w:rPr>
        <w:t>arrivals and overnight stays for the pre</w:t>
      </w:r>
      <w:r w:rsidR="00815986" w:rsidRPr="00065189">
        <w:rPr>
          <w:rFonts w:eastAsia="Times New Roman" w:cs="Arial"/>
          <w:szCs w:val="20"/>
          <w:lang w:val="en-GB" w:eastAsia="hr-HR"/>
        </w:rPr>
        <w:t>ceding</w:t>
      </w:r>
      <w:r w:rsidRPr="00065189">
        <w:rPr>
          <w:rFonts w:eastAsia="Times New Roman" w:cs="Arial"/>
          <w:szCs w:val="20"/>
          <w:lang w:val="en-GB" w:eastAsia="hr-HR"/>
        </w:rPr>
        <w:t xml:space="preserve"> year</w:t>
      </w:r>
      <w:r w:rsidR="0051405D" w:rsidRPr="00065189">
        <w:rPr>
          <w:rFonts w:eastAsia="Times New Roman" w:cs="Arial"/>
          <w:szCs w:val="20"/>
          <w:lang w:val="en-GB" w:eastAsia="hr-HR"/>
        </w:rPr>
        <w:t>.</w:t>
      </w:r>
    </w:p>
    <w:p w14:paraId="678665EE" w14:textId="7A7DE49C" w:rsidR="0051405D" w:rsidRPr="00065189" w:rsidRDefault="007D21D0" w:rsidP="007D21D0">
      <w:pPr>
        <w:spacing w:before="120" w:line="276" w:lineRule="auto"/>
        <w:jc w:val="both"/>
        <w:rPr>
          <w:rFonts w:eastAsia="Times New Roman" w:cs="Arial"/>
          <w:szCs w:val="20"/>
          <w:lang w:val="en-GB" w:eastAsia="hr-HR"/>
        </w:rPr>
      </w:pPr>
      <w:bookmarkStart w:id="36" w:name="_Hlk18669694"/>
      <w:bookmarkStart w:id="37" w:name="_Toc534881544"/>
      <w:r w:rsidRPr="00065189">
        <w:rPr>
          <w:rFonts w:eastAsia="Times New Roman" w:cs="Arial"/>
          <w:szCs w:val="20"/>
          <w:lang w:val="en-GB" w:eastAsia="hr-HR"/>
        </w:rPr>
        <w:t>As</w:t>
      </w:r>
      <w:r w:rsidR="004F6950" w:rsidRPr="00065189">
        <w:rPr>
          <w:lang w:val="en-GB"/>
        </w:rPr>
        <w:t xml:space="preserve"> </w:t>
      </w:r>
      <w:r w:rsidR="004F6950" w:rsidRPr="00065189">
        <w:rPr>
          <w:rFonts w:eastAsia="Times New Roman" w:cs="Arial"/>
          <w:szCs w:val="20"/>
          <w:lang w:val="en-GB" w:eastAsia="hr-HR"/>
        </w:rPr>
        <w:t>an exception, for borrowers whose financial statements do not meet the criterion referred to in indent 4 (reduced currency-induced credit risk), if the borrowers can demonstrate indirect</w:t>
      </w:r>
      <w:r w:rsidR="00815986" w:rsidRPr="00065189">
        <w:rPr>
          <w:rFonts w:eastAsia="Times New Roman" w:cs="Arial"/>
          <w:szCs w:val="20"/>
          <w:lang w:val="en-GB" w:eastAsia="hr-HR"/>
        </w:rPr>
        <w:t xml:space="preserve"> </w:t>
      </w:r>
      <w:r w:rsidR="004F6950" w:rsidRPr="00065189">
        <w:rPr>
          <w:rFonts w:eastAsia="Times New Roman" w:cs="Arial"/>
          <w:szCs w:val="20"/>
          <w:lang w:val="en-GB" w:eastAsia="hr-HR"/>
        </w:rPr>
        <w:t xml:space="preserve">income/revenues of at least 5% of operating income/revenues in foreign or international markets </w:t>
      </w:r>
      <w:r w:rsidR="00AF5A27" w:rsidRPr="00065189">
        <w:rPr>
          <w:rFonts w:eastAsia="Times New Roman" w:cs="Arial"/>
          <w:szCs w:val="20"/>
          <w:lang w:val="en-GB" w:eastAsia="hr-HR"/>
        </w:rPr>
        <w:t xml:space="preserve">generated </w:t>
      </w:r>
      <w:r w:rsidR="004F6950" w:rsidRPr="00065189">
        <w:rPr>
          <w:rFonts w:eastAsia="Times New Roman" w:cs="Arial"/>
          <w:szCs w:val="20"/>
          <w:lang w:val="en-GB" w:eastAsia="hr-HR"/>
        </w:rPr>
        <w:t>through</w:t>
      </w:r>
      <w:r w:rsidR="00815986" w:rsidRPr="00065189">
        <w:rPr>
          <w:rFonts w:eastAsia="Times New Roman" w:cs="Arial"/>
          <w:szCs w:val="20"/>
          <w:lang w:val="en-GB" w:eastAsia="hr-HR"/>
        </w:rPr>
        <w:t xml:space="preserve"> </w:t>
      </w:r>
      <w:r w:rsidR="004F6950" w:rsidRPr="00065189">
        <w:rPr>
          <w:rFonts w:eastAsia="Times New Roman" w:cs="Arial"/>
          <w:szCs w:val="20"/>
          <w:lang w:val="en-GB" w:eastAsia="hr-HR"/>
        </w:rPr>
        <w:t>intermediaries by presenting invoices on delivered goods and by presenting a statement of intermediaries</w:t>
      </w:r>
      <w:r w:rsidR="00815986" w:rsidRPr="00065189">
        <w:rPr>
          <w:rFonts w:eastAsia="Times New Roman" w:cs="Arial"/>
          <w:szCs w:val="20"/>
          <w:lang w:val="en-GB" w:eastAsia="hr-HR"/>
        </w:rPr>
        <w:t xml:space="preserve"> </w:t>
      </w:r>
      <w:r w:rsidR="004F6950" w:rsidRPr="00065189">
        <w:rPr>
          <w:rFonts w:eastAsia="Times New Roman" w:cs="Arial"/>
          <w:szCs w:val="20"/>
          <w:lang w:val="en-GB" w:eastAsia="hr-HR"/>
        </w:rPr>
        <w:t>certified by a notary public under material and criminal liability certifying that the borrowers’ finished goods</w:t>
      </w:r>
      <w:r w:rsidR="00815986" w:rsidRPr="00065189">
        <w:rPr>
          <w:rFonts w:eastAsia="Times New Roman" w:cs="Arial"/>
          <w:szCs w:val="20"/>
          <w:lang w:val="en-GB" w:eastAsia="hr-HR"/>
        </w:rPr>
        <w:t xml:space="preserve"> </w:t>
      </w:r>
      <w:r w:rsidR="004F6950" w:rsidRPr="00065189">
        <w:rPr>
          <w:rFonts w:eastAsia="Times New Roman" w:cs="Arial"/>
          <w:szCs w:val="20"/>
          <w:lang w:val="en-GB" w:eastAsia="hr-HR"/>
        </w:rPr>
        <w:t>have been delivered to the foreign or international market in unaltered form, the criterion of reduced currency</w:t>
      </w:r>
      <w:r w:rsidR="00815986" w:rsidRPr="00065189">
        <w:rPr>
          <w:rFonts w:eastAsia="Times New Roman" w:cs="Arial"/>
          <w:szCs w:val="20"/>
          <w:lang w:val="en-GB" w:eastAsia="hr-HR"/>
        </w:rPr>
        <w:t>-</w:t>
      </w:r>
      <w:r w:rsidR="004F6950" w:rsidRPr="00065189">
        <w:rPr>
          <w:rFonts w:eastAsia="Times New Roman" w:cs="Arial"/>
          <w:szCs w:val="20"/>
          <w:lang w:val="en-GB" w:eastAsia="hr-HR"/>
        </w:rPr>
        <w:t>induced</w:t>
      </w:r>
      <w:r w:rsidR="00815986" w:rsidRPr="00065189">
        <w:rPr>
          <w:rFonts w:eastAsia="Times New Roman" w:cs="Arial"/>
          <w:szCs w:val="20"/>
          <w:lang w:val="en-GB" w:eastAsia="hr-HR"/>
        </w:rPr>
        <w:t xml:space="preserve"> </w:t>
      </w:r>
      <w:r w:rsidR="004F6950" w:rsidRPr="00065189">
        <w:rPr>
          <w:rFonts w:eastAsia="Times New Roman" w:cs="Arial"/>
          <w:szCs w:val="20"/>
          <w:lang w:val="en-GB" w:eastAsia="hr-HR"/>
        </w:rPr>
        <w:t>credit risk will be considered fulfilled</w:t>
      </w:r>
      <w:r w:rsidR="0051405D" w:rsidRPr="00065189">
        <w:rPr>
          <w:rFonts w:eastAsia="Times New Roman" w:cs="Arial"/>
          <w:szCs w:val="20"/>
          <w:lang w:val="en-GB" w:eastAsia="hr-HR"/>
        </w:rPr>
        <w:t>.</w:t>
      </w:r>
    </w:p>
    <w:p w14:paraId="6BAD6ACB" w14:textId="3E2A2599" w:rsidR="00F628DD" w:rsidRPr="00065189" w:rsidRDefault="005A1AD6" w:rsidP="001A4F54">
      <w:pPr>
        <w:pStyle w:val="HeadingA"/>
        <w:numPr>
          <w:ilvl w:val="1"/>
          <w:numId w:val="4"/>
        </w:numPr>
        <w:spacing w:after="240" w:line="276" w:lineRule="auto"/>
        <w:outlineLvl w:val="1"/>
        <w:rPr>
          <w:rFonts w:ascii="Arial" w:hAnsi="Arial" w:cs="Arial"/>
          <w:sz w:val="20"/>
          <w:szCs w:val="20"/>
          <w:lang w:val="en-GB"/>
        </w:rPr>
      </w:pPr>
      <w:bookmarkStart w:id="38" w:name="_Toc137558520"/>
      <w:r w:rsidRPr="00065189">
        <w:rPr>
          <w:rFonts w:ascii="Arial" w:hAnsi="Arial" w:cs="Arial"/>
          <w:sz w:val="20"/>
          <w:szCs w:val="20"/>
          <w:lang w:val="en-GB"/>
        </w:rPr>
        <w:t>Ineligible Borrowers and Restrictions</w:t>
      </w:r>
      <w:bookmarkEnd w:id="38"/>
    </w:p>
    <w:p w14:paraId="3E432AA7" w14:textId="464C66D4" w:rsidR="002602C8" w:rsidRPr="00065189" w:rsidRDefault="005A1AD6" w:rsidP="002602C8">
      <w:pPr>
        <w:pStyle w:val="HeadingA"/>
        <w:numPr>
          <w:ilvl w:val="0"/>
          <w:numId w:val="0"/>
        </w:numPr>
        <w:spacing w:before="240" w:after="0" w:line="276" w:lineRule="auto"/>
        <w:outlineLvl w:val="2"/>
        <w:rPr>
          <w:rFonts w:ascii="Arial" w:hAnsi="Arial" w:cs="Arial"/>
          <w:color w:val="auto"/>
          <w:sz w:val="20"/>
          <w:szCs w:val="20"/>
          <w:lang w:val="en-GB"/>
        </w:rPr>
      </w:pPr>
      <w:bookmarkStart w:id="39" w:name="_Toc137558521"/>
      <w:bookmarkStart w:id="40" w:name="_Hlk93619809"/>
      <w:r w:rsidRPr="00065189">
        <w:rPr>
          <w:rFonts w:ascii="Arial" w:hAnsi="Arial" w:cs="Arial"/>
          <w:color w:val="auto"/>
          <w:sz w:val="20"/>
          <w:szCs w:val="20"/>
          <w:lang w:val="en-GB"/>
        </w:rPr>
        <w:t xml:space="preserve">Entrepreneurs in </w:t>
      </w:r>
      <w:r w:rsidR="008D2A4B" w:rsidRPr="00065189">
        <w:rPr>
          <w:rFonts w:ascii="Arial" w:hAnsi="Arial" w:cs="Arial"/>
          <w:color w:val="auto"/>
          <w:sz w:val="20"/>
          <w:szCs w:val="20"/>
          <w:lang w:val="en-GB"/>
        </w:rPr>
        <w:t>d</w:t>
      </w:r>
      <w:r w:rsidRPr="00065189">
        <w:rPr>
          <w:rFonts w:ascii="Arial" w:hAnsi="Arial" w:cs="Arial"/>
          <w:color w:val="auto"/>
          <w:sz w:val="20"/>
          <w:szCs w:val="20"/>
          <w:lang w:val="en-GB"/>
        </w:rPr>
        <w:t>ifficulties</w:t>
      </w:r>
      <w:bookmarkEnd w:id="39"/>
    </w:p>
    <w:bookmarkEnd w:id="40"/>
    <w:p w14:paraId="1406704F" w14:textId="79FDC454" w:rsidR="002602C8" w:rsidRPr="00065189" w:rsidRDefault="008336F5" w:rsidP="002602C8">
      <w:pPr>
        <w:spacing w:line="276" w:lineRule="auto"/>
        <w:jc w:val="both"/>
        <w:rPr>
          <w:rFonts w:cs="Arial"/>
          <w:lang w:val="en-GB"/>
        </w:rPr>
      </w:pPr>
      <w:r w:rsidRPr="00065189">
        <w:rPr>
          <w:rFonts w:cs="Arial"/>
          <w:lang w:val="en-GB"/>
        </w:rPr>
        <w:t xml:space="preserve">Borrowers cannot be entities that belong to the category of companies in difficulties in accordance with the provisions of Article 2, paragraph 18 of the Commission Regulation (EU) No. 651/2014 </w:t>
      </w:r>
      <w:r w:rsidR="00FE5259" w:rsidRPr="00065189">
        <w:rPr>
          <w:rFonts w:cs="Arial"/>
          <w:lang w:val="en-GB"/>
        </w:rPr>
        <w:t>of 17</w:t>
      </w:r>
      <w:r w:rsidR="00F5391B" w:rsidRPr="00065189">
        <w:rPr>
          <w:rFonts w:cs="Arial"/>
          <w:lang w:val="en-GB"/>
        </w:rPr>
        <w:t xml:space="preserve"> June 2014 </w:t>
      </w:r>
      <w:r w:rsidRPr="00065189">
        <w:rPr>
          <w:rFonts w:cs="Arial"/>
          <w:lang w:val="en-GB"/>
        </w:rPr>
        <w:t>declaring certain categories of aid compatible with the internal market in application of Articles 107 and 108 of the Treaty (OJ L 187, 26 June 2014, hereinafter: the Regulation: 651/2014), i.e. with the provisions of the regulation in force at the moment of loan</w:t>
      </w:r>
      <w:r w:rsidR="008D2A4B" w:rsidRPr="00065189">
        <w:rPr>
          <w:rFonts w:cs="Arial"/>
          <w:lang w:val="en-GB"/>
        </w:rPr>
        <w:t xml:space="preserve"> or </w:t>
      </w:r>
      <w:r w:rsidR="00717EE2" w:rsidRPr="00065189">
        <w:rPr>
          <w:rFonts w:cs="Arial"/>
          <w:lang w:val="en-GB"/>
        </w:rPr>
        <w:t xml:space="preserve">interest subsidy </w:t>
      </w:r>
      <w:r w:rsidRPr="00065189">
        <w:rPr>
          <w:rFonts w:cs="Arial"/>
          <w:lang w:val="en-GB"/>
        </w:rPr>
        <w:t>approval</w:t>
      </w:r>
      <w:r w:rsidR="00717EE2" w:rsidRPr="00065189">
        <w:rPr>
          <w:rFonts w:cs="Arial"/>
          <w:lang w:val="en-GB"/>
        </w:rPr>
        <w:t xml:space="preserve">, except in the case referred to under </w:t>
      </w:r>
      <w:r w:rsidR="008160A8" w:rsidRPr="00065189">
        <w:rPr>
          <w:rFonts w:cs="Arial"/>
          <w:lang w:val="en-GB"/>
        </w:rPr>
        <w:t>6</w:t>
      </w:r>
      <w:r w:rsidR="002602C8" w:rsidRPr="00065189">
        <w:rPr>
          <w:rFonts w:cs="Arial"/>
          <w:lang w:val="en-GB"/>
        </w:rPr>
        <w:t>.2</w:t>
      </w:r>
      <w:r w:rsidR="00717EE2" w:rsidRPr="00065189">
        <w:rPr>
          <w:rFonts w:cs="Arial"/>
          <w:lang w:val="en-GB"/>
        </w:rPr>
        <w:t xml:space="preserve"> of these General Eligibility Criteria (Financial </w:t>
      </w:r>
      <w:r w:rsidR="008D2A4B" w:rsidRPr="00065189">
        <w:rPr>
          <w:rFonts w:cs="Arial"/>
          <w:lang w:val="en-GB"/>
        </w:rPr>
        <w:t>r</w:t>
      </w:r>
      <w:r w:rsidR="00717EE2" w:rsidRPr="00065189">
        <w:rPr>
          <w:rFonts w:cs="Arial"/>
          <w:lang w:val="en-GB"/>
        </w:rPr>
        <w:t>estructuring</w:t>
      </w:r>
      <w:r w:rsidR="002602C8" w:rsidRPr="00065189">
        <w:rPr>
          <w:rFonts w:cs="Arial"/>
          <w:lang w:val="en-GB"/>
        </w:rPr>
        <w:t>).</w:t>
      </w:r>
    </w:p>
    <w:p w14:paraId="383828AF" w14:textId="4550F383" w:rsidR="002602C8" w:rsidRPr="00065189" w:rsidRDefault="00BB3251" w:rsidP="002602C8">
      <w:pPr>
        <w:spacing w:before="120" w:line="276" w:lineRule="auto"/>
        <w:rPr>
          <w:rFonts w:cs="Arial"/>
          <w:lang w:val="en-GB"/>
        </w:rPr>
      </w:pPr>
      <w:bookmarkStart w:id="41" w:name="_Hlk116469229"/>
      <w:r w:rsidRPr="00065189">
        <w:rPr>
          <w:rFonts w:cs="Arial"/>
          <w:lang w:val="en-GB"/>
        </w:rPr>
        <w:t>For more details, follow the link</w:t>
      </w:r>
      <w:bookmarkEnd w:id="41"/>
      <w:r w:rsidR="002602C8" w:rsidRPr="00065189">
        <w:rPr>
          <w:rFonts w:cs="Arial"/>
          <w:lang w:val="en-GB"/>
        </w:rPr>
        <w:t>:</w:t>
      </w:r>
      <w:r w:rsidR="002602C8" w:rsidRPr="00065189">
        <w:rPr>
          <w:lang w:val="en-GB"/>
        </w:rPr>
        <w:t xml:space="preserve"> </w:t>
      </w:r>
      <w:hyperlink r:id="rId11" w:history="1">
        <w:r w:rsidR="002602C8" w:rsidRPr="00065189">
          <w:rPr>
            <w:rStyle w:val="Hyperlink"/>
            <w:rFonts w:cs="Arial"/>
            <w:color w:val="2F5496" w:themeColor="accent1" w:themeShade="BF"/>
            <w:lang w:val="en-GB"/>
          </w:rPr>
          <w:t>https://www.hbor.hr/naslovnica/hbor/poduzetnici-u-teskocama/</w:t>
        </w:r>
      </w:hyperlink>
      <w:r w:rsidR="002602C8" w:rsidRPr="00065189">
        <w:rPr>
          <w:rFonts w:cs="Arial"/>
          <w:color w:val="2F5496" w:themeColor="accent1" w:themeShade="BF"/>
          <w:lang w:val="en-GB"/>
        </w:rPr>
        <w:t xml:space="preserve"> </w:t>
      </w:r>
    </w:p>
    <w:p w14:paraId="402A3BEF" w14:textId="4D68D7D2" w:rsidR="002602C8" w:rsidRPr="00065189" w:rsidRDefault="008D2A4B" w:rsidP="00884DED">
      <w:pPr>
        <w:pStyle w:val="HeadingA"/>
        <w:numPr>
          <w:ilvl w:val="0"/>
          <w:numId w:val="0"/>
        </w:numPr>
        <w:spacing w:before="240" w:after="0" w:line="276" w:lineRule="auto"/>
        <w:jc w:val="both"/>
        <w:outlineLvl w:val="2"/>
        <w:rPr>
          <w:rFonts w:ascii="Arial" w:hAnsi="Arial" w:cs="Arial"/>
          <w:color w:val="auto"/>
          <w:sz w:val="20"/>
          <w:szCs w:val="20"/>
          <w:lang w:val="en-GB"/>
        </w:rPr>
      </w:pPr>
      <w:bookmarkStart w:id="42" w:name="_Toc137558522"/>
      <w:r w:rsidRPr="00065189">
        <w:rPr>
          <w:rFonts w:ascii="Arial" w:hAnsi="Arial" w:cs="Arial"/>
          <w:color w:val="auto"/>
          <w:sz w:val="20"/>
          <w:szCs w:val="20"/>
          <w:lang w:val="en-GB"/>
        </w:rPr>
        <w:t>Business entities</w:t>
      </w:r>
      <w:r w:rsidR="00405C9A" w:rsidRPr="00065189">
        <w:rPr>
          <w:rFonts w:ascii="Arial" w:hAnsi="Arial" w:cs="Arial"/>
          <w:color w:val="auto"/>
          <w:sz w:val="20"/>
          <w:szCs w:val="20"/>
          <w:lang w:val="en-GB"/>
        </w:rPr>
        <w:t xml:space="preserve"> in which ownership interests are held </w:t>
      </w:r>
      <w:r w:rsidR="00B46933" w:rsidRPr="00065189">
        <w:rPr>
          <w:rFonts w:ascii="Arial" w:hAnsi="Arial" w:cs="Arial"/>
          <w:color w:val="auto"/>
          <w:sz w:val="20"/>
          <w:szCs w:val="20"/>
          <w:lang w:val="en-GB"/>
        </w:rPr>
        <w:t>by entities subject to the</w:t>
      </w:r>
      <w:r w:rsidR="00444C86" w:rsidRPr="00065189">
        <w:rPr>
          <w:rFonts w:ascii="Arial" w:hAnsi="Arial" w:cs="Arial"/>
          <w:color w:val="auto"/>
          <w:sz w:val="20"/>
          <w:szCs w:val="20"/>
          <w:lang w:val="en-GB"/>
        </w:rPr>
        <w:t xml:space="preserve"> Act on Preventing Conflict of Interest and their </w:t>
      </w:r>
      <w:r w:rsidR="00E21605" w:rsidRPr="00065189">
        <w:rPr>
          <w:rFonts w:ascii="Arial" w:hAnsi="Arial" w:cs="Arial"/>
          <w:color w:val="auto"/>
          <w:sz w:val="20"/>
          <w:szCs w:val="20"/>
          <w:lang w:val="en-GB"/>
        </w:rPr>
        <w:t>family members</w:t>
      </w:r>
      <w:bookmarkEnd w:id="42"/>
    </w:p>
    <w:p w14:paraId="2F4A170B" w14:textId="08BD7C71" w:rsidR="002602C8" w:rsidRPr="00065189" w:rsidRDefault="00294CB5" w:rsidP="002602C8">
      <w:pPr>
        <w:spacing w:line="276" w:lineRule="auto"/>
        <w:jc w:val="both"/>
        <w:rPr>
          <w:rFonts w:cs="Arial"/>
          <w:szCs w:val="20"/>
          <w:lang w:val="en-GB"/>
        </w:rPr>
      </w:pPr>
      <w:r w:rsidRPr="00065189">
        <w:rPr>
          <w:rFonts w:cs="Arial"/>
          <w:szCs w:val="20"/>
          <w:lang w:val="en-GB"/>
        </w:rPr>
        <w:t xml:space="preserve">In accordance with the Act </w:t>
      </w:r>
      <w:r w:rsidR="00DC0BC2" w:rsidRPr="00065189">
        <w:rPr>
          <w:rFonts w:cs="Arial"/>
          <w:szCs w:val="20"/>
          <w:lang w:val="en-GB"/>
        </w:rPr>
        <w:t>on Preventin</w:t>
      </w:r>
      <w:r w:rsidRPr="00065189">
        <w:rPr>
          <w:rFonts w:cs="Arial"/>
          <w:szCs w:val="20"/>
          <w:lang w:val="en-GB"/>
        </w:rPr>
        <w:t>g</w:t>
      </w:r>
      <w:r w:rsidR="00DC0BC2" w:rsidRPr="00065189">
        <w:rPr>
          <w:rFonts w:cs="Arial"/>
          <w:szCs w:val="20"/>
          <w:lang w:val="en-GB"/>
        </w:rPr>
        <w:t xml:space="preserve"> Conflict of Interest (O</w:t>
      </w:r>
      <w:r w:rsidRPr="00065189">
        <w:rPr>
          <w:rFonts w:cs="Arial"/>
          <w:szCs w:val="20"/>
          <w:lang w:val="en-GB"/>
        </w:rPr>
        <w:t xml:space="preserve">fficial </w:t>
      </w:r>
      <w:r w:rsidR="00DC0BC2" w:rsidRPr="00065189">
        <w:rPr>
          <w:rFonts w:cs="Arial"/>
          <w:szCs w:val="20"/>
          <w:lang w:val="en-GB"/>
        </w:rPr>
        <w:t>G</w:t>
      </w:r>
      <w:r w:rsidRPr="00065189">
        <w:rPr>
          <w:rFonts w:cs="Arial"/>
          <w:szCs w:val="20"/>
          <w:lang w:val="en-GB"/>
        </w:rPr>
        <w:t>azette of the Republic of Croatia, No.</w:t>
      </w:r>
      <w:r w:rsidR="00DC0BC2" w:rsidRPr="00065189">
        <w:rPr>
          <w:rFonts w:cs="Arial"/>
          <w:szCs w:val="20"/>
          <w:lang w:val="en-GB"/>
        </w:rPr>
        <w:t xml:space="preserve"> 143/2021) and all its subsequent amendments, there are restrictions </w:t>
      </w:r>
      <w:r w:rsidR="004823C4" w:rsidRPr="00065189">
        <w:rPr>
          <w:rFonts w:cs="Arial"/>
          <w:szCs w:val="20"/>
          <w:lang w:val="en-GB"/>
        </w:rPr>
        <w:t xml:space="preserve">in effect </w:t>
      </w:r>
      <w:r w:rsidR="00DC0BC2" w:rsidRPr="00065189">
        <w:rPr>
          <w:rFonts w:cs="Arial"/>
          <w:szCs w:val="20"/>
          <w:lang w:val="en-GB"/>
        </w:rPr>
        <w:t xml:space="preserve">on lending to business </w:t>
      </w:r>
      <w:r w:rsidR="00DC0BC2" w:rsidRPr="00065189">
        <w:rPr>
          <w:rFonts w:cs="Arial"/>
          <w:szCs w:val="20"/>
          <w:lang w:val="en-GB"/>
        </w:rPr>
        <w:lastRenderedPageBreak/>
        <w:t xml:space="preserve">entities in which </w:t>
      </w:r>
      <w:r w:rsidR="007A791B" w:rsidRPr="00065189">
        <w:rPr>
          <w:rFonts w:cs="Arial"/>
          <w:szCs w:val="20"/>
          <w:lang w:val="en-GB"/>
        </w:rPr>
        <w:t xml:space="preserve">ownership interests </w:t>
      </w:r>
      <w:r w:rsidR="00DC0BC2" w:rsidRPr="00065189">
        <w:rPr>
          <w:rFonts w:cs="Arial"/>
          <w:szCs w:val="20"/>
          <w:lang w:val="en-GB"/>
        </w:rPr>
        <w:t xml:space="preserve">are </w:t>
      </w:r>
      <w:r w:rsidR="007A791B" w:rsidRPr="00065189">
        <w:rPr>
          <w:rFonts w:cs="Arial"/>
          <w:szCs w:val="20"/>
          <w:lang w:val="en-GB"/>
        </w:rPr>
        <w:t xml:space="preserve">held </w:t>
      </w:r>
      <w:r w:rsidR="00DC0BC2" w:rsidRPr="00065189">
        <w:rPr>
          <w:rFonts w:cs="Arial"/>
          <w:szCs w:val="20"/>
          <w:lang w:val="en-GB"/>
        </w:rPr>
        <w:t xml:space="preserve">by </w:t>
      </w:r>
      <w:r w:rsidR="007A791B" w:rsidRPr="00065189">
        <w:rPr>
          <w:rFonts w:cs="Arial"/>
          <w:szCs w:val="20"/>
          <w:lang w:val="en-GB"/>
        </w:rPr>
        <w:t xml:space="preserve">entities subject to the Act on </w:t>
      </w:r>
      <w:r w:rsidR="00DC0BC2" w:rsidRPr="00065189">
        <w:rPr>
          <w:rFonts w:cs="Arial"/>
          <w:szCs w:val="20"/>
          <w:lang w:val="en-GB"/>
        </w:rPr>
        <w:t>Prevent</w:t>
      </w:r>
      <w:r w:rsidR="007A791B" w:rsidRPr="00065189">
        <w:rPr>
          <w:rFonts w:cs="Arial"/>
          <w:szCs w:val="20"/>
          <w:lang w:val="en-GB"/>
        </w:rPr>
        <w:t xml:space="preserve">ing </w:t>
      </w:r>
      <w:r w:rsidR="00DC0BC2" w:rsidRPr="00065189">
        <w:rPr>
          <w:rFonts w:cs="Arial"/>
          <w:szCs w:val="20"/>
          <w:lang w:val="en-GB"/>
        </w:rPr>
        <w:t>Conflict of Interest and their family members</w:t>
      </w:r>
      <w:r w:rsidR="002602C8" w:rsidRPr="00065189">
        <w:rPr>
          <w:rFonts w:cs="Arial"/>
          <w:szCs w:val="20"/>
          <w:lang w:val="en-GB"/>
        </w:rPr>
        <w:t>.</w:t>
      </w:r>
    </w:p>
    <w:p w14:paraId="6297ABAB" w14:textId="7A79750E" w:rsidR="004D1D55" w:rsidRPr="00065189" w:rsidRDefault="00480263" w:rsidP="002602C8">
      <w:pPr>
        <w:spacing w:before="120" w:line="276" w:lineRule="auto"/>
        <w:rPr>
          <w:rStyle w:val="Hyperlink"/>
          <w:rFonts w:cs="Arial"/>
          <w:color w:val="auto"/>
          <w:szCs w:val="20"/>
          <w:lang w:val="en-GB"/>
        </w:rPr>
      </w:pPr>
      <w:r w:rsidRPr="00065189">
        <w:rPr>
          <w:rFonts w:cs="Arial"/>
          <w:szCs w:val="20"/>
          <w:lang w:val="en-GB"/>
        </w:rPr>
        <w:t>For more details, follow the link</w:t>
      </w:r>
      <w:r w:rsidR="002602C8" w:rsidRPr="00065189">
        <w:rPr>
          <w:rFonts w:cs="Arial"/>
          <w:szCs w:val="20"/>
          <w:lang w:val="en-GB"/>
        </w:rPr>
        <w:t>:</w:t>
      </w:r>
      <w:r w:rsidR="002602C8" w:rsidRPr="00065189">
        <w:rPr>
          <w:lang w:val="en-GB"/>
        </w:rPr>
        <w:t xml:space="preserve"> </w:t>
      </w:r>
      <w:hyperlink r:id="rId12" w:history="1">
        <w:r w:rsidR="002602C8" w:rsidRPr="00065189">
          <w:rPr>
            <w:rStyle w:val="Hyperlink"/>
            <w:rFonts w:cs="Arial"/>
            <w:color w:val="2F5496" w:themeColor="accent1" w:themeShade="BF"/>
            <w:szCs w:val="20"/>
            <w:lang w:val="en-GB"/>
          </w:rPr>
          <w:t>https://www.hbor.hr/wp-content/uploads/2016/10/Ogranicenje-u-kreditiranju-drzavnih-duznosnika.pdf</w:t>
        </w:r>
      </w:hyperlink>
    </w:p>
    <w:p w14:paraId="05177CCB" w14:textId="3904F9A6" w:rsidR="00E440F0" w:rsidRPr="00065189" w:rsidRDefault="007A791B" w:rsidP="00E440F0">
      <w:pPr>
        <w:pStyle w:val="HeadingA"/>
        <w:numPr>
          <w:ilvl w:val="0"/>
          <w:numId w:val="0"/>
        </w:numPr>
        <w:spacing w:before="240" w:after="0" w:line="276" w:lineRule="auto"/>
        <w:outlineLvl w:val="2"/>
        <w:rPr>
          <w:rFonts w:ascii="Arial" w:hAnsi="Arial" w:cs="Arial"/>
          <w:color w:val="auto"/>
          <w:sz w:val="20"/>
          <w:szCs w:val="20"/>
          <w:lang w:val="en-GB"/>
        </w:rPr>
      </w:pPr>
      <w:bookmarkStart w:id="43" w:name="_Toc97033111"/>
      <w:bookmarkStart w:id="44" w:name="_Toc137558523"/>
      <w:r w:rsidRPr="00065189">
        <w:rPr>
          <w:rFonts w:ascii="Arial" w:hAnsi="Arial" w:cs="Arial"/>
          <w:color w:val="auto"/>
          <w:sz w:val="20"/>
          <w:szCs w:val="20"/>
          <w:lang w:val="en-GB"/>
        </w:rPr>
        <w:t>Exclusion criteria in accordance with the Reputational Risk Management</w:t>
      </w:r>
      <w:bookmarkEnd w:id="43"/>
      <w:r w:rsidR="00AE6CC4" w:rsidRPr="00065189">
        <w:rPr>
          <w:rFonts w:ascii="Arial" w:hAnsi="Arial" w:cs="Arial"/>
          <w:color w:val="auto"/>
          <w:sz w:val="20"/>
          <w:szCs w:val="20"/>
          <w:lang w:val="en-GB"/>
        </w:rPr>
        <w:t xml:space="preserve"> Ordinance</w:t>
      </w:r>
      <w:bookmarkEnd w:id="44"/>
    </w:p>
    <w:p w14:paraId="4525214E" w14:textId="56DE8C82" w:rsidR="00E440F0" w:rsidRPr="00065189" w:rsidRDefault="000B0700" w:rsidP="00E440F0">
      <w:pPr>
        <w:spacing w:line="276" w:lineRule="auto"/>
        <w:jc w:val="both"/>
        <w:rPr>
          <w:rFonts w:eastAsia="Times New Roman" w:cs="Arial"/>
          <w:szCs w:val="20"/>
          <w:lang w:val="en-GB" w:eastAsia="hr-HR"/>
        </w:rPr>
      </w:pPr>
      <w:r w:rsidRPr="00065189">
        <w:rPr>
          <w:rFonts w:eastAsia="Times New Roman" w:cs="Arial"/>
          <w:szCs w:val="20"/>
          <w:lang w:val="en-GB" w:eastAsia="hr-HR"/>
        </w:rPr>
        <w:t>In accordance with HBOR</w:t>
      </w:r>
      <w:r w:rsidR="00965696" w:rsidRPr="00065189">
        <w:rPr>
          <w:rFonts w:eastAsia="Times New Roman" w:cs="Arial"/>
          <w:szCs w:val="20"/>
          <w:lang w:val="en-GB" w:eastAsia="hr-HR"/>
        </w:rPr>
        <w:t>’s</w:t>
      </w:r>
      <w:r w:rsidRPr="00065189">
        <w:rPr>
          <w:rFonts w:eastAsia="Times New Roman" w:cs="Arial"/>
          <w:szCs w:val="20"/>
          <w:lang w:val="en-GB" w:eastAsia="hr-HR"/>
        </w:rPr>
        <w:t xml:space="preserve"> </w:t>
      </w:r>
      <w:r w:rsidR="00965696" w:rsidRPr="00065189">
        <w:rPr>
          <w:rFonts w:eastAsia="Times New Roman" w:cs="Arial"/>
          <w:szCs w:val="20"/>
          <w:lang w:val="en-GB" w:eastAsia="hr-HR"/>
        </w:rPr>
        <w:t>R</w:t>
      </w:r>
      <w:r w:rsidRPr="00065189">
        <w:rPr>
          <w:rFonts w:eastAsia="Times New Roman" w:cs="Arial"/>
          <w:szCs w:val="20"/>
          <w:lang w:val="en-GB" w:eastAsia="hr-HR"/>
        </w:rPr>
        <w:t xml:space="preserve">eputational </w:t>
      </w:r>
      <w:r w:rsidR="00965696" w:rsidRPr="00065189">
        <w:rPr>
          <w:rFonts w:eastAsia="Times New Roman" w:cs="Arial"/>
          <w:szCs w:val="20"/>
          <w:lang w:val="en-GB" w:eastAsia="hr-HR"/>
        </w:rPr>
        <w:t>R</w:t>
      </w:r>
      <w:r w:rsidRPr="00065189">
        <w:rPr>
          <w:rFonts w:eastAsia="Times New Roman" w:cs="Arial"/>
          <w:szCs w:val="20"/>
          <w:lang w:val="en-GB" w:eastAsia="hr-HR"/>
        </w:rPr>
        <w:t xml:space="preserve">isk </w:t>
      </w:r>
      <w:r w:rsidR="00965696" w:rsidRPr="00065189">
        <w:rPr>
          <w:rFonts w:eastAsia="Times New Roman" w:cs="Arial"/>
          <w:szCs w:val="20"/>
          <w:lang w:val="en-GB" w:eastAsia="hr-HR"/>
        </w:rPr>
        <w:t>M</w:t>
      </w:r>
      <w:r w:rsidRPr="00065189">
        <w:rPr>
          <w:rFonts w:eastAsia="Times New Roman" w:cs="Arial"/>
          <w:szCs w:val="20"/>
          <w:lang w:val="en-GB" w:eastAsia="hr-HR"/>
        </w:rPr>
        <w:t xml:space="preserve">anagement </w:t>
      </w:r>
      <w:r w:rsidR="00965696" w:rsidRPr="00065189">
        <w:rPr>
          <w:rFonts w:eastAsia="Times New Roman" w:cs="Arial"/>
          <w:szCs w:val="20"/>
          <w:lang w:val="en-GB" w:eastAsia="hr-HR"/>
        </w:rPr>
        <w:t>Ordinance</w:t>
      </w:r>
      <w:r w:rsidRPr="00065189">
        <w:rPr>
          <w:rFonts w:eastAsia="Times New Roman" w:cs="Arial"/>
          <w:szCs w:val="20"/>
          <w:lang w:val="en-GB" w:eastAsia="hr-HR"/>
        </w:rPr>
        <w:t>, risk categories and exclusion criteria a</w:t>
      </w:r>
      <w:r w:rsidR="00816316" w:rsidRPr="00065189">
        <w:rPr>
          <w:rFonts w:eastAsia="Times New Roman" w:cs="Arial"/>
          <w:szCs w:val="20"/>
          <w:lang w:val="en-GB" w:eastAsia="hr-HR"/>
        </w:rPr>
        <w:t>s well as</w:t>
      </w:r>
      <w:r w:rsidRPr="00065189">
        <w:rPr>
          <w:rFonts w:eastAsia="Times New Roman" w:cs="Arial"/>
          <w:szCs w:val="20"/>
          <w:lang w:val="en-GB" w:eastAsia="hr-HR"/>
        </w:rPr>
        <w:t xml:space="preserve"> their impact on the </w:t>
      </w:r>
      <w:r w:rsidR="00816316" w:rsidRPr="00065189">
        <w:rPr>
          <w:rFonts w:eastAsia="Times New Roman" w:cs="Arial"/>
          <w:szCs w:val="20"/>
          <w:lang w:val="en-GB" w:eastAsia="hr-HR"/>
        </w:rPr>
        <w:t>execution</w:t>
      </w:r>
      <w:r w:rsidRPr="00065189">
        <w:rPr>
          <w:rFonts w:eastAsia="Times New Roman" w:cs="Arial"/>
          <w:szCs w:val="20"/>
          <w:lang w:val="en-GB" w:eastAsia="hr-HR"/>
        </w:rPr>
        <w:t>, continuation or termination of a business relationship with a client</w:t>
      </w:r>
      <w:r w:rsidR="00816316" w:rsidRPr="00065189">
        <w:rPr>
          <w:rFonts w:eastAsia="Times New Roman" w:cs="Arial"/>
          <w:szCs w:val="20"/>
          <w:lang w:val="en-GB" w:eastAsia="hr-HR"/>
        </w:rPr>
        <w:t xml:space="preserve"> are determined</w:t>
      </w:r>
      <w:r w:rsidR="00E440F0" w:rsidRPr="00065189">
        <w:rPr>
          <w:rFonts w:eastAsia="Times New Roman" w:cs="Arial"/>
          <w:szCs w:val="20"/>
          <w:lang w:val="en-GB" w:eastAsia="hr-HR"/>
        </w:rPr>
        <w:t>.</w:t>
      </w:r>
    </w:p>
    <w:p w14:paraId="711B3A5B" w14:textId="567D1D77" w:rsidR="00E440F0" w:rsidRPr="00065189" w:rsidRDefault="00480263" w:rsidP="00413AB6">
      <w:pPr>
        <w:spacing w:before="120" w:line="276" w:lineRule="auto"/>
        <w:jc w:val="both"/>
        <w:rPr>
          <w:rFonts w:eastAsia="Times New Roman" w:cs="Arial"/>
          <w:szCs w:val="20"/>
          <w:lang w:val="en-GB" w:eastAsia="hr-HR"/>
        </w:rPr>
      </w:pPr>
      <w:r w:rsidRPr="00065189">
        <w:rPr>
          <w:rFonts w:cs="Arial"/>
          <w:szCs w:val="20"/>
          <w:lang w:val="en-GB"/>
        </w:rPr>
        <w:t>For more details, follow the link</w:t>
      </w:r>
      <w:r w:rsidR="00E440F0" w:rsidRPr="00065189">
        <w:rPr>
          <w:rFonts w:cs="Arial"/>
          <w:szCs w:val="20"/>
          <w:lang w:val="en-GB"/>
        </w:rPr>
        <w:t>:</w:t>
      </w:r>
      <w:r w:rsidR="00E440F0" w:rsidRPr="00065189">
        <w:rPr>
          <w:lang w:val="en-GB"/>
        </w:rPr>
        <w:t xml:space="preserve"> </w:t>
      </w:r>
      <w:hyperlink r:id="rId13" w:history="1">
        <w:r w:rsidR="00E440F0" w:rsidRPr="00065189">
          <w:rPr>
            <w:rStyle w:val="Hyperlink"/>
            <w:color w:val="2F5496" w:themeColor="accent1" w:themeShade="BF"/>
            <w:lang w:val="en-GB"/>
          </w:rPr>
          <w:t>https://www.hbor.hr/pravilnik-o-upravljanju-reputacijskim-rizikom-hbor-a-koji-proizlazi-iz-poslovnog-odnosa-s-klijentom/</w:t>
        </w:r>
      </w:hyperlink>
      <w:r w:rsidR="00E440F0" w:rsidRPr="00065189">
        <w:rPr>
          <w:color w:val="2F5496" w:themeColor="accent1" w:themeShade="BF"/>
          <w:lang w:val="en-GB"/>
        </w:rPr>
        <w:t xml:space="preserve"> </w:t>
      </w:r>
    </w:p>
    <w:p w14:paraId="562A3714" w14:textId="0BB0AF81" w:rsidR="000E4F10" w:rsidRPr="00065189" w:rsidRDefault="00C90E2C" w:rsidP="001A4F54">
      <w:pPr>
        <w:pStyle w:val="HeadingA"/>
        <w:numPr>
          <w:ilvl w:val="0"/>
          <w:numId w:val="4"/>
        </w:numPr>
        <w:spacing w:after="240"/>
        <w:ind w:left="357" w:hanging="357"/>
        <w:outlineLvl w:val="0"/>
        <w:rPr>
          <w:rFonts w:ascii="Arial" w:hAnsi="Arial" w:cs="Arial"/>
          <w:sz w:val="24"/>
          <w:szCs w:val="24"/>
          <w:lang w:val="en-GB"/>
        </w:rPr>
      </w:pPr>
      <w:bookmarkStart w:id="45" w:name="_Toc137558524"/>
      <w:bookmarkStart w:id="46" w:name="_Hlk93311272"/>
      <w:r w:rsidRPr="00065189">
        <w:rPr>
          <w:rFonts w:ascii="Arial" w:hAnsi="Arial" w:cs="Arial"/>
          <w:sz w:val="24"/>
          <w:szCs w:val="24"/>
          <w:lang w:val="en-GB"/>
        </w:rPr>
        <w:t>Special Areas of the Republic of Croatia</w:t>
      </w:r>
      <w:bookmarkEnd w:id="45"/>
    </w:p>
    <w:p w14:paraId="1C857A81" w14:textId="26D9656B" w:rsidR="00877644" w:rsidRPr="00065189" w:rsidRDefault="000924B1" w:rsidP="00877644">
      <w:pPr>
        <w:spacing w:before="120" w:line="276" w:lineRule="auto"/>
        <w:jc w:val="both"/>
        <w:rPr>
          <w:bCs/>
          <w:lang w:val="en-GB"/>
        </w:rPr>
      </w:pPr>
      <w:bookmarkStart w:id="47" w:name="_Hlk72060031"/>
      <w:bookmarkEnd w:id="36"/>
      <w:bookmarkEnd w:id="37"/>
      <w:bookmarkEnd w:id="46"/>
      <w:r w:rsidRPr="00065189">
        <w:rPr>
          <w:bCs/>
          <w:lang w:val="en-GB"/>
        </w:rPr>
        <w:t xml:space="preserve">Special areas of the Republic of Croatia are </w:t>
      </w:r>
      <w:r w:rsidR="00877644" w:rsidRPr="00065189">
        <w:rPr>
          <w:bCs/>
          <w:lang w:val="en-GB"/>
        </w:rPr>
        <w:t>e</w:t>
      </w:r>
      <w:r w:rsidR="002204D5" w:rsidRPr="00065189">
        <w:rPr>
          <w:bCs/>
          <w:lang w:val="en-GB"/>
        </w:rPr>
        <w:t xml:space="preserve">conomically underdeveloped areas </w:t>
      </w:r>
      <w:r w:rsidR="00877644" w:rsidRPr="00065189">
        <w:rPr>
          <w:bCs/>
          <w:lang w:val="en-GB"/>
        </w:rPr>
        <w:t>(</w:t>
      </w:r>
      <w:r w:rsidR="002204D5" w:rsidRPr="00065189">
        <w:rPr>
          <w:bCs/>
          <w:lang w:val="en-GB"/>
        </w:rPr>
        <w:t>supported areas</w:t>
      </w:r>
      <w:r w:rsidR="00877644" w:rsidRPr="00065189">
        <w:rPr>
          <w:bCs/>
          <w:lang w:val="en-GB"/>
        </w:rPr>
        <w:t xml:space="preserve">), </w:t>
      </w:r>
      <w:r w:rsidR="002204D5" w:rsidRPr="00065189">
        <w:rPr>
          <w:bCs/>
          <w:lang w:val="en-GB"/>
        </w:rPr>
        <w:t>the islands and hill/mountain areas in the Republic of Croatia as follows</w:t>
      </w:r>
      <w:r w:rsidR="008A0D0E" w:rsidRPr="00065189">
        <w:rPr>
          <w:bCs/>
          <w:lang w:val="en-GB"/>
        </w:rPr>
        <w:t>:</w:t>
      </w:r>
      <w:r w:rsidR="007C356E" w:rsidRPr="00065189">
        <w:rPr>
          <w:bCs/>
          <w:lang w:val="en-GB"/>
        </w:rPr>
        <w:t xml:space="preserve"> </w:t>
      </w:r>
    </w:p>
    <w:p w14:paraId="7879FDD2" w14:textId="0FB11EFD" w:rsidR="000D360E" w:rsidRPr="00065189" w:rsidRDefault="00F20E58">
      <w:pPr>
        <w:pStyle w:val="HeadingA"/>
        <w:numPr>
          <w:ilvl w:val="0"/>
          <w:numId w:val="0"/>
        </w:numPr>
        <w:spacing w:before="240" w:after="0" w:line="276" w:lineRule="auto"/>
        <w:outlineLvl w:val="2"/>
        <w:rPr>
          <w:rFonts w:ascii="Arial" w:hAnsi="Arial" w:cs="Arial"/>
          <w:color w:val="auto"/>
          <w:sz w:val="20"/>
          <w:szCs w:val="20"/>
          <w:lang w:val="en-GB"/>
        </w:rPr>
      </w:pPr>
      <w:bookmarkStart w:id="48" w:name="_Toc137558525"/>
      <w:bookmarkStart w:id="49" w:name="_Hlk93331258"/>
      <w:bookmarkEnd w:id="47"/>
      <w:r w:rsidRPr="00065189">
        <w:rPr>
          <w:rFonts w:ascii="Arial" w:hAnsi="Arial" w:cs="Arial"/>
          <w:color w:val="auto"/>
          <w:sz w:val="20"/>
          <w:szCs w:val="20"/>
          <w:lang w:val="en-GB"/>
        </w:rPr>
        <w:t xml:space="preserve">Supported </w:t>
      </w:r>
      <w:r w:rsidR="00AE6CC4" w:rsidRPr="00065189">
        <w:rPr>
          <w:rFonts w:ascii="Arial" w:hAnsi="Arial" w:cs="Arial"/>
          <w:color w:val="auto"/>
          <w:sz w:val="20"/>
          <w:szCs w:val="20"/>
          <w:lang w:val="en-GB"/>
        </w:rPr>
        <w:t>a</w:t>
      </w:r>
      <w:r w:rsidRPr="00065189">
        <w:rPr>
          <w:rFonts w:ascii="Arial" w:hAnsi="Arial" w:cs="Arial"/>
          <w:color w:val="auto"/>
          <w:sz w:val="20"/>
          <w:szCs w:val="20"/>
          <w:lang w:val="en-GB"/>
        </w:rPr>
        <w:t>reas</w:t>
      </w:r>
      <w:bookmarkEnd w:id="48"/>
    </w:p>
    <w:bookmarkEnd w:id="49"/>
    <w:p w14:paraId="09331462" w14:textId="51C80938" w:rsidR="00F34010" w:rsidRPr="00065189" w:rsidRDefault="00F20E58" w:rsidP="00F34010">
      <w:pPr>
        <w:spacing w:line="276" w:lineRule="auto"/>
        <w:jc w:val="both"/>
        <w:rPr>
          <w:rFonts w:cs="Arial"/>
          <w:bCs/>
          <w:szCs w:val="20"/>
          <w:lang w:val="en-GB"/>
        </w:rPr>
      </w:pPr>
      <w:r w:rsidRPr="00065189">
        <w:rPr>
          <w:rFonts w:cs="Arial"/>
          <w:bCs/>
          <w:szCs w:val="20"/>
          <w:lang w:val="en-GB"/>
        </w:rPr>
        <w:t>Units of local government classified into groups I, II, III or IV in accordance with the Regional Development Act of the Republic of Croatia (Official Gazette of the Republic of Croatia Nos. 147/2014, 123/2017, 118/2018) and the Decision on the Classification of Units of Local and Regional Government According to the Level of Development (Official Gazette of the Republic of Croatia No. 132/2017) and all their amendments</w:t>
      </w:r>
      <w:r w:rsidR="00F34010" w:rsidRPr="00065189">
        <w:rPr>
          <w:rFonts w:cs="Arial"/>
          <w:bCs/>
          <w:szCs w:val="20"/>
          <w:lang w:val="en-GB"/>
        </w:rPr>
        <w:t>.</w:t>
      </w:r>
    </w:p>
    <w:p w14:paraId="759CAC96" w14:textId="41638F85" w:rsidR="000D360E" w:rsidRPr="00065189" w:rsidRDefault="00F20E58" w:rsidP="00200929">
      <w:pPr>
        <w:pStyle w:val="HeadingA"/>
        <w:numPr>
          <w:ilvl w:val="0"/>
          <w:numId w:val="0"/>
        </w:numPr>
        <w:spacing w:before="240" w:after="0" w:line="276" w:lineRule="auto"/>
        <w:outlineLvl w:val="2"/>
        <w:rPr>
          <w:rFonts w:ascii="Arial" w:hAnsi="Arial" w:cs="Arial"/>
          <w:color w:val="auto"/>
          <w:sz w:val="20"/>
          <w:szCs w:val="20"/>
          <w:lang w:val="en-GB"/>
        </w:rPr>
      </w:pPr>
      <w:bookmarkStart w:id="50" w:name="_Toc137558526"/>
      <w:r w:rsidRPr="00065189">
        <w:rPr>
          <w:rFonts w:ascii="Arial" w:hAnsi="Arial" w:cs="Arial"/>
          <w:color w:val="auto"/>
          <w:sz w:val="20"/>
          <w:szCs w:val="20"/>
          <w:lang w:val="en-GB"/>
        </w:rPr>
        <w:t xml:space="preserve">Hill or </w:t>
      </w:r>
      <w:r w:rsidR="00AE6CC4" w:rsidRPr="00065189">
        <w:rPr>
          <w:rFonts w:ascii="Arial" w:hAnsi="Arial" w:cs="Arial"/>
          <w:color w:val="auto"/>
          <w:sz w:val="20"/>
          <w:szCs w:val="20"/>
          <w:lang w:val="en-GB"/>
        </w:rPr>
        <w:t>m</w:t>
      </w:r>
      <w:r w:rsidRPr="00065189">
        <w:rPr>
          <w:rFonts w:ascii="Arial" w:hAnsi="Arial" w:cs="Arial"/>
          <w:color w:val="auto"/>
          <w:sz w:val="20"/>
          <w:szCs w:val="20"/>
          <w:lang w:val="en-GB"/>
        </w:rPr>
        <w:t xml:space="preserve">ountain </w:t>
      </w:r>
      <w:r w:rsidR="00AE6CC4" w:rsidRPr="00065189">
        <w:rPr>
          <w:rFonts w:ascii="Arial" w:hAnsi="Arial" w:cs="Arial"/>
          <w:color w:val="auto"/>
          <w:sz w:val="20"/>
          <w:szCs w:val="20"/>
          <w:lang w:val="en-GB"/>
        </w:rPr>
        <w:t>a</w:t>
      </w:r>
      <w:r w:rsidRPr="00065189">
        <w:rPr>
          <w:rFonts w:ascii="Arial" w:hAnsi="Arial" w:cs="Arial"/>
          <w:color w:val="auto"/>
          <w:sz w:val="20"/>
          <w:szCs w:val="20"/>
          <w:lang w:val="en-GB"/>
        </w:rPr>
        <w:t>reas</w:t>
      </w:r>
      <w:bookmarkEnd w:id="50"/>
    </w:p>
    <w:p w14:paraId="73BD2FF7" w14:textId="594D25E5" w:rsidR="00F34010" w:rsidRPr="00065189" w:rsidRDefault="00EC7172" w:rsidP="00F34010">
      <w:pPr>
        <w:spacing w:line="276" w:lineRule="auto"/>
        <w:jc w:val="both"/>
        <w:rPr>
          <w:rFonts w:cs="Arial"/>
          <w:szCs w:val="20"/>
          <w:lang w:val="en-GB"/>
        </w:rPr>
      </w:pPr>
      <w:r w:rsidRPr="00065189">
        <w:rPr>
          <w:rFonts w:cs="Arial"/>
          <w:szCs w:val="20"/>
          <w:lang w:val="en-GB"/>
        </w:rPr>
        <w:t>Areas in accordance with the Act on Hill or Mountain Areas (Official Gazette of the Republic of Croatia No. 118/2018) and the Decision on the Coverage and Classification of Local Government Units Acquiring the Status of Hill or Mountain Area (Official Gazette of the Republic of Croatia No. 24/2019) and all their amendments</w:t>
      </w:r>
      <w:r w:rsidR="00F34010" w:rsidRPr="00065189">
        <w:rPr>
          <w:rFonts w:cs="Arial"/>
          <w:szCs w:val="20"/>
          <w:lang w:val="en-GB"/>
        </w:rPr>
        <w:t>.</w:t>
      </w:r>
    </w:p>
    <w:p w14:paraId="6B406094" w14:textId="5E7D8747" w:rsidR="000D360E" w:rsidRPr="00065189" w:rsidRDefault="00EC7172" w:rsidP="00200929">
      <w:pPr>
        <w:pStyle w:val="HeadingA"/>
        <w:numPr>
          <w:ilvl w:val="0"/>
          <w:numId w:val="0"/>
        </w:numPr>
        <w:spacing w:before="240" w:after="0" w:line="276" w:lineRule="auto"/>
        <w:outlineLvl w:val="2"/>
        <w:rPr>
          <w:rFonts w:ascii="Arial" w:hAnsi="Arial" w:cs="Arial"/>
          <w:color w:val="auto"/>
          <w:sz w:val="20"/>
          <w:szCs w:val="20"/>
          <w:lang w:val="en-GB"/>
        </w:rPr>
      </w:pPr>
      <w:bookmarkStart w:id="51" w:name="_Toc137558527"/>
      <w:r w:rsidRPr="00065189">
        <w:rPr>
          <w:rFonts w:ascii="Arial" w:hAnsi="Arial" w:cs="Arial"/>
          <w:color w:val="auto"/>
          <w:sz w:val="20"/>
          <w:szCs w:val="20"/>
          <w:lang w:val="en-GB"/>
        </w:rPr>
        <w:t xml:space="preserve">The </w:t>
      </w:r>
      <w:r w:rsidR="00AE6CC4" w:rsidRPr="00065189">
        <w:rPr>
          <w:rFonts w:ascii="Arial" w:hAnsi="Arial" w:cs="Arial"/>
          <w:color w:val="auto"/>
          <w:sz w:val="20"/>
          <w:szCs w:val="20"/>
          <w:lang w:val="en-GB"/>
        </w:rPr>
        <w:t>i</w:t>
      </w:r>
      <w:r w:rsidRPr="00065189">
        <w:rPr>
          <w:rFonts w:ascii="Arial" w:hAnsi="Arial" w:cs="Arial"/>
          <w:color w:val="auto"/>
          <w:sz w:val="20"/>
          <w:szCs w:val="20"/>
          <w:lang w:val="en-GB"/>
        </w:rPr>
        <w:t>slands</w:t>
      </w:r>
      <w:bookmarkEnd w:id="51"/>
    </w:p>
    <w:p w14:paraId="6D7D8A7F" w14:textId="72F3F5B6" w:rsidR="00F34010" w:rsidRPr="00065189" w:rsidRDefault="009245C2" w:rsidP="00F34010">
      <w:pPr>
        <w:spacing w:line="276" w:lineRule="auto"/>
        <w:jc w:val="both"/>
        <w:rPr>
          <w:rFonts w:cs="Arial"/>
          <w:szCs w:val="20"/>
          <w:lang w:val="en-GB"/>
        </w:rPr>
      </w:pPr>
      <w:bookmarkStart w:id="52" w:name="_Hlk93311769"/>
      <w:r w:rsidRPr="00065189">
        <w:rPr>
          <w:rFonts w:cs="Arial"/>
          <w:szCs w:val="20"/>
          <w:lang w:val="en-GB"/>
        </w:rPr>
        <w:t>In accordance with the Islands Act (Official Gazette of the Republic of Croatia Nos.116/2018, 73/2020, 70/2021) and all its amendments</w:t>
      </w:r>
      <w:r w:rsidR="00F34010" w:rsidRPr="00065189">
        <w:rPr>
          <w:rFonts w:cs="Arial"/>
          <w:szCs w:val="20"/>
          <w:lang w:val="en-GB"/>
        </w:rPr>
        <w:t>.</w:t>
      </w:r>
    </w:p>
    <w:p w14:paraId="7AFD361A" w14:textId="74DFF266" w:rsidR="00EA0771" w:rsidRPr="00065189" w:rsidRDefault="006678AF" w:rsidP="001A4F54">
      <w:pPr>
        <w:pStyle w:val="HeadingA"/>
        <w:numPr>
          <w:ilvl w:val="0"/>
          <w:numId w:val="4"/>
        </w:numPr>
        <w:spacing w:after="240"/>
        <w:ind w:left="357" w:hanging="357"/>
        <w:outlineLvl w:val="0"/>
        <w:rPr>
          <w:rFonts w:ascii="Arial" w:hAnsi="Arial" w:cs="Arial"/>
          <w:sz w:val="24"/>
          <w:szCs w:val="24"/>
          <w:lang w:val="en-GB"/>
        </w:rPr>
      </w:pPr>
      <w:bookmarkStart w:id="53" w:name="_Toc137558528"/>
      <w:r w:rsidRPr="00065189">
        <w:rPr>
          <w:rFonts w:ascii="Arial" w:hAnsi="Arial" w:cs="Arial"/>
          <w:sz w:val="24"/>
          <w:szCs w:val="24"/>
          <w:lang w:val="en-GB"/>
        </w:rPr>
        <w:t>Activities of Special Interest</w:t>
      </w:r>
      <w:bookmarkEnd w:id="53"/>
    </w:p>
    <w:p w14:paraId="0AAE1775" w14:textId="4DEC3569" w:rsidR="0039142A" w:rsidRPr="00065189" w:rsidRDefault="00670585" w:rsidP="00696A88">
      <w:pPr>
        <w:spacing w:after="120" w:line="276" w:lineRule="auto"/>
        <w:jc w:val="both"/>
        <w:rPr>
          <w:rFonts w:cs="Arial"/>
          <w:szCs w:val="20"/>
          <w:lang w:val="en-GB"/>
        </w:rPr>
      </w:pPr>
      <w:bookmarkStart w:id="54" w:name="_Toc4408946"/>
      <w:bookmarkEnd w:id="52"/>
      <w:r w:rsidRPr="00065189">
        <w:rPr>
          <w:rFonts w:cs="Arial"/>
          <w:szCs w:val="20"/>
          <w:lang w:val="en-GB"/>
        </w:rPr>
        <w:t>Investments in the a</w:t>
      </w:r>
      <w:r w:rsidR="00696A88" w:rsidRPr="00065189">
        <w:rPr>
          <w:rFonts w:cs="Arial"/>
          <w:szCs w:val="20"/>
          <w:lang w:val="en-GB"/>
        </w:rPr>
        <w:t xml:space="preserve">ctivities of special interest are </w:t>
      </w:r>
      <w:r w:rsidR="0054339E" w:rsidRPr="00065189">
        <w:rPr>
          <w:rFonts w:cs="Arial"/>
          <w:szCs w:val="20"/>
          <w:lang w:val="en-GB"/>
        </w:rPr>
        <w:t xml:space="preserve">listed </w:t>
      </w:r>
      <w:r w:rsidR="00696A88" w:rsidRPr="00065189">
        <w:rPr>
          <w:rFonts w:cs="Arial"/>
          <w:szCs w:val="20"/>
          <w:lang w:val="en-GB"/>
        </w:rPr>
        <w:t xml:space="preserve">in the </w:t>
      </w:r>
      <w:r w:rsidR="00FD2DA4" w:rsidRPr="00065189">
        <w:rPr>
          <w:rFonts w:cs="Arial"/>
          <w:szCs w:val="20"/>
          <w:lang w:val="en-GB"/>
        </w:rPr>
        <w:t xml:space="preserve">following </w:t>
      </w:r>
      <w:r w:rsidR="00696A88" w:rsidRPr="00065189">
        <w:rPr>
          <w:rFonts w:cs="Arial"/>
          <w:szCs w:val="20"/>
          <w:lang w:val="en-GB"/>
        </w:rPr>
        <w:t>table by sections</w:t>
      </w:r>
      <w:r w:rsidR="006774FB" w:rsidRPr="00065189">
        <w:rPr>
          <w:rFonts w:cs="Arial"/>
          <w:szCs w:val="20"/>
          <w:lang w:val="en-GB"/>
        </w:rPr>
        <w:t>, groups and</w:t>
      </w:r>
      <w:r w:rsidR="0054339E" w:rsidRPr="00065189">
        <w:rPr>
          <w:rFonts w:cs="Arial"/>
          <w:szCs w:val="20"/>
          <w:lang w:val="en-GB"/>
        </w:rPr>
        <w:t>/or</w:t>
      </w:r>
      <w:r w:rsidR="006774FB" w:rsidRPr="00065189">
        <w:rPr>
          <w:rFonts w:cs="Arial"/>
          <w:szCs w:val="20"/>
          <w:lang w:val="en-GB"/>
        </w:rPr>
        <w:t xml:space="preserve"> classes </w:t>
      </w:r>
      <w:r w:rsidR="00FD2DA4" w:rsidRPr="00065189">
        <w:rPr>
          <w:rFonts w:cs="Arial"/>
          <w:szCs w:val="20"/>
          <w:lang w:val="en-GB"/>
        </w:rPr>
        <w:t xml:space="preserve">of the </w:t>
      </w:r>
      <w:r w:rsidR="00696A88" w:rsidRPr="00065189">
        <w:rPr>
          <w:rFonts w:cs="Arial"/>
          <w:szCs w:val="20"/>
          <w:lang w:val="en-GB"/>
        </w:rPr>
        <w:t>National</w:t>
      </w:r>
      <w:r w:rsidR="00FD2DA4" w:rsidRPr="00065189">
        <w:rPr>
          <w:rFonts w:cs="Arial"/>
          <w:szCs w:val="20"/>
          <w:lang w:val="en-GB"/>
        </w:rPr>
        <w:t xml:space="preserve"> </w:t>
      </w:r>
      <w:r w:rsidR="00696A88" w:rsidRPr="00065189">
        <w:rPr>
          <w:rFonts w:cs="Arial"/>
          <w:szCs w:val="20"/>
          <w:lang w:val="en-GB"/>
        </w:rPr>
        <w:t>Classification of Activities</w:t>
      </w:r>
      <w:r w:rsidR="00FD2DA4" w:rsidRPr="00065189">
        <w:rPr>
          <w:rFonts w:cs="Arial"/>
          <w:szCs w:val="20"/>
          <w:lang w:val="en-GB"/>
        </w:rPr>
        <w:t xml:space="preserve"> (hereinafter: N</w:t>
      </w:r>
      <w:r w:rsidR="008B56DB" w:rsidRPr="00065189">
        <w:rPr>
          <w:rFonts w:cs="Arial"/>
          <w:szCs w:val="20"/>
          <w:lang w:val="en-GB"/>
        </w:rPr>
        <w:t>KD</w:t>
      </w:r>
      <w:r w:rsidR="0039142A" w:rsidRPr="00065189">
        <w:rPr>
          <w:rFonts w:cs="Arial"/>
          <w:szCs w:val="20"/>
          <w:lang w:val="en-GB"/>
        </w:rPr>
        <w:t>)</w:t>
      </w:r>
      <w:r w:rsidR="00696A88" w:rsidRPr="00065189">
        <w:rPr>
          <w:rFonts w:cs="Arial"/>
          <w:szCs w:val="20"/>
          <w:lang w:val="en-GB"/>
        </w:rPr>
        <w:t>.</w:t>
      </w:r>
    </w:p>
    <w:p w14:paraId="3B167A7A" w14:textId="3956B44C" w:rsidR="0094020A" w:rsidRPr="00065189" w:rsidRDefault="00696A88" w:rsidP="003E6B2A">
      <w:pPr>
        <w:spacing w:after="120" w:line="276" w:lineRule="auto"/>
        <w:jc w:val="both"/>
        <w:rPr>
          <w:rFonts w:cs="Arial"/>
          <w:szCs w:val="20"/>
          <w:lang w:val="en-GB"/>
        </w:rPr>
      </w:pPr>
      <w:r w:rsidRPr="00065189">
        <w:rPr>
          <w:rFonts w:cs="Arial"/>
          <w:szCs w:val="20"/>
          <w:lang w:val="en-GB"/>
        </w:rPr>
        <w:t>Under the mentioned sections,</w:t>
      </w:r>
      <w:r w:rsidR="0039142A" w:rsidRPr="00065189">
        <w:rPr>
          <w:rFonts w:cs="Arial"/>
          <w:szCs w:val="20"/>
          <w:lang w:val="en-GB"/>
        </w:rPr>
        <w:t xml:space="preserve"> groups and/or classes,</w:t>
      </w:r>
      <w:r w:rsidRPr="00065189">
        <w:rPr>
          <w:rFonts w:cs="Arial"/>
          <w:szCs w:val="20"/>
          <w:lang w:val="en-GB"/>
        </w:rPr>
        <w:t xml:space="preserve"> activities </w:t>
      </w:r>
      <w:r w:rsidR="000665DD" w:rsidRPr="00065189">
        <w:rPr>
          <w:rFonts w:cs="Arial"/>
          <w:szCs w:val="20"/>
          <w:lang w:val="en-GB"/>
        </w:rPr>
        <w:t>listed as exemptions</w:t>
      </w:r>
      <w:r w:rsidR="000F49D0" w:rsidRPr="00065189">
        <w:rPr>
          <w:rFonts w:cs="Arial"/>
          <w:szCs w:val="20"/>
          <w:lang w:val="en-GB"/>
        </w:rPr>
        <w:t xml:space="preserve"> </w:t>
      </w:r>
      <w:r w:rsidR="00F56063" w:rsidRPr="00065189">
        <w:rPr>
          <w:rFonts w:cs="Arial"/>
          <w:szCs w:val="20"/>
          <w:lang w:val="en-GB"/>
        </w:rPr>
        <w:t xml:space="preserve">are the activities </w:t>
      </w:r>
      <w:r w:rsidR="000F49D0" w:rsidRPr="00065189">
        <w:rPr>
          <w:rFonts w:cs="Arial"/>
          <w:szCs w:val="20"/>
          <w:lang w:val="en-GB"/>
        </w:rPr>
        <w:t>that</w:t>
      </w:r>
      <w:r w:rsidR="009C4642" w:rsidRPr="00065189">
        <w:rPr>
          <w:rFonts w:cs="Arial"/>
          <w:szCs w:val="20"/>
          <w:lang w:val="en-GB"/>
        </w:rPr>
        <w:t xml:space="preserve"> </w:t>
      </w:r>
      <w:r w:rsidR="000F49D0" w:rsidRPr="00065189">
        <w:rPr>
          <w:rFonts w:cs="Arial"/>
          <w:b/>
          <w:bCs/>
          <w:szCs w:val="20"/>
          <w:lang w:val="en-GB"/>
        </w:rPr>
        <w:t>are not activities of special interest and</w:t>
      </w:r>
      <w:r w:rsidR="00522682" w:rsidRPr="00065189">
        <w:rPr>
          <w:rFonts w:cs="Arial"/>
          <w:b/>
          <w:bCs/>
          <w:szCs w:val="20"/>
          <w:lang w:val="en-GB"/>
        </w:rPr>
        <w:t>/</w:t>
      </w:r>
      <w:r w:rsidR="000F49D0" w:rsidRPr="00065189">
        <w:rPr>
          <w:rFonts w:cs="Arial"/>
          <w:b/>
          <w:bCs/>
          <w:szCs w:val="20"/>
          <w:lang w:val="en-GB"/>
        </w:rPr>
        <w:t>or that are activities and purposes that are not eligible for financing</w:t>
      </w:r>
      <w:bookmarkEnd w:id="54"/>
      <w:r w:rsidR="00522682" w:rsidRPr="00065189">
        <w:rPr>
          <w:rFonts w:cs="Arial"/>
          <w:b/>
          <w:bCs/>
          <w:szCs w:val="20"/>
          <w:lang w:val="en-GB"/>
        </w:rPr>
        <w:t>.</w:t>
      </w:r>
    </w:p>
    <w:tbl>
      <w:tblPr>
        <w:tblStyle w:val="TableGrid"/>
        <w:tblW w:w="0" w:type="auto"/>
        <w:tblLook w:val="04A0" w:firstRow="1" w:lastRow="0" w:firstColumn="1" w:lastColumn="0" w:noHBand="0" w:noVBand="1"/>
      </w:tblPr>
      <w:tblGrid>
        <w:gridCol w:w="4508"/>
        <w:gridCol w:w="4509"/>
      </w:tblGrid>
      <w:tr w:rsidR="00186872" w:rsidRPr="00065189" w14:paraId="46C534E3" w14:textId="77777777" w:rsidTr="005B15ED">
        <w:tc>
          <w:tcPr>
            <w:tcW w:w="4508" w:type="dxa"/>
            <w:shd w:val="pct10" w:color="auto" w:fill="auto"/>
            <w:vAlign w:val="center"/>
          </w:tcPr>
          <w:p w14:paraId="553658D3" w14:textId="4E15BE31" w:rsidR="000A11B2" w:rsidRPr="00065189" w:rsidRDefault="006678AF" w:rsidP="00370249">
            <w:pPr>
              <w:spacing w:before="40" w:after="40" w:line="276" w:lineRule="auto"/>
              <w:rPr>
                <w:rFonts w:cs="Arial"/>
                <w:b/>
                <w:sz w:val="18"/>
                <w:szCs w:val="18"/>
                <w:lang w:val="en-GB"/>
              </w:rPr>
            </w:pPr>
            <w:r w:rsidRPr="00065189">
              <w:rPr>
                <w:rFonts w:cs="Arial"/>
                <w:b/>
                <w:sz w:val="18"/>
                <w:szCs w:val="18"/>
                <w:lang w:val="en-GB"/>
              </w:rPr>
              <w:t xml:space="preserve">Activities of special interest </w:t>
            </w:r>
          </w:p>
        </w:tc>
        <w:tc>
          <w:tcPr>
            <w:tcW w:w="4509" w:type="dxa"/>
            <w:shd w:val="pct10" w:color="auto" w:fill="auto"/>
          </w:tcPr>
          <w:p w14:paraId="20FA8B78" w14:textId="19F03C5E" w:rsidR="000A11B2" w:rsidRPr="00065189" w:rsidRDefault="006678AF" w:rsidP="00370249">
            <w:pPr>
              <w:spacing w:before="40" w:after="40" w:line="276" w:lineRule="auto"/>
              <w:rPr>
                <w:rFonts w:cs="Arial"/>
                <w:b/>
                <w:sz w:val="18"/>
                <w:szCs w:val="18"/>
                <w:lang w:val="en-GB"/>
              </w:rPr>
            </w:pPr>
            <w:r w:rsidRPr="00065189">
              <w:rPr>
                <w:rFonts w:cs="Arial"/>
                <w:b/>
                <w:sz w:val="18"/>
                <w:szCs w:val="18"/>
                <w:lang w:val="en-GB"/>
              </w:rPr>
              <w:t>Exemptions</w:t>
            </w:r>
          </w:p>
        </w:tc>
      </w:tr>
      <w:tr w:rsidR="00186872" w:rsidRPr="00065189" w14:paraId="050B9641" w14:textId="77777777" w:rsidTr="005B15ED">
        <w:tc>
          <w:tcPr>
            <w:tcW w:w="4508" w:type="dxa"/>
          </w:tcPr>
          <w:p w14:paraId="5AE8A164" w14:textId="677243D6" w:rsidR="00DC71ED" w:rsidRPr="00065189" w:rsidRDefault="000A11B2" w:rsidP="00370249">
            <w:pPr>
              <w:spacing w:before="40" w:after="40" w:line="276" w:lineRule="auto"/>
              <w:rPr>
                <w:rFonts w:cs="Arial"/>
                <w:sz w:val="18"/>
                <w:szCs w:val="18"/>
                <w:lang w:val="en-GB"/>
              </w:rPr>
            </w:pPr>
            <w:r w:rsidRPr="00065189">
              <w:rPr>
                <w:rFonts w:cs="Arial"/>
                <w:sz w:val="18"/>
                <w:szCs w:val="18"/>
                <w:lang w:val="en-GB"/>
              </w:rPr>
              <w:t xml:space="preserve">01 </w:t>
            </w:r>
            <w:r w:rsidR="00544E85" w:rsidRPr="00065189">
              <w:rPr>
                <w:rFonts w:cs="Arial"/>
                <w:sz w:val="18"/>
                <w:szCs w:val="18"/>
                <w:lang w:val="en-GB"/>
              </w:rPr>
              <w:t>–</w:t>
            </w:r>
            <w:r w:rsidRPr="00065189">
              <w:rPr>
                <w:rFonts w:cs="Arial"/>
                <w:sz w:val="18"/>
                <w:szCs w:val="18"/>
                <w:lang w:val="en-GB"/>
              </w:rPr>
              <w:t xml:space="preserve"> </w:t>
            </w:r>
            <w:r w:rsidR="00D60AE2" w:rsidRPr="00065189">
              <w:rPr>
                <w:rFonts w:cs="Arial"/>
                <w:sz w:val="18"/>
                <w:szCs w:val="18"/>
                <w:lang w:val="en-GB"/>
              </w:rPr>
              <w:t xml:space="preserve">Crop and animal production </w:t>
            </w:r>
          </w:p>
          <w:p w14:paraId="6809D5F7" w14:textId="246E6EDB" w:rsidR="000A11B2" w:rsidRPr="00065189" w:rsidRDefault="00D60AE2" w:rsidP="00370249">
            <w:pPr>
              <w:spacing w:before="40" w:after="40" w:line="276" w:lineRule="auto"/>
              <w:rPr>
                <w:rFonts w:cs="Arial"/>
                <w:sz w:val="18"/>
                <w:szCs w:val="18"/>
                <w:lang w:val="en-GB"/>
              </w:rPr>
            </w:pPr>
            <w:r w:rsidRPr="00065189">
              <w:rPr>
                <w:rFonts w:cs="Arial"/>
                <w:sz w:val="18"/>
                <w:szCs w:val="18"/>
                <w:lang w:val="en-GB"/>
              </w:rPr>
              <w:t>fr</w:t>
            </w:r>
            <w:r w:rsidR="000A11B2" w:rsidRPr="00065189">
              <w:rPr>
                <w:rFonts w:cs="Arial"/>
                <w:sz w:val="18"/>
                <w:szCs w:val="18"/>
                <w:lang w:val="en-GB"/>
              </w:rPr>
              <w:t>o</w:t>
            </w:r>
            <w:r w:rsidRPr="00065189">
              <w:rPr>
                <w:rFonts w:cs="Arial"/>
                <w:sz w:val="18"/>
                <w:szCs w:val="18"/>
                <w:lang w:val="en-GB"/>
              </w:rPr>
              <w:t>m</w:t>
            </w:r>
            <w:r w:rsidR="000A11B2" w:rsidRPr="00065189">
              <w:rPr>
                <w:rFonts w:cs="Arial"/>
                <w:sz w:val="18"/>
                <w:szCs w:val="18"/>
                <w:lang w:val="en-GB"/>
              </w:rPr>
              <w:t xml:space="preserve"> 01.1</w:t>
            </w:r>
            <w:r w:rsidR="000219C8" w:rsidRPr="00065189">
              <w:rPr>
                <w:rFonts w:cs="Arial"/>
                <w:sz w:val="18"/>
                <w:szCs w:val="18"/>
                <w:lang w:val="en-GB"/>
              </w:rPr>
              <w:t>1</w:t>
            </w:r>
            <w:r w:rsidR="000A11B2" w:rsidRPr="00065189">
              <w:rPr>
                <w:rFonts w:cs="Arial"/>
                <w:sz w:val="18"/>
                <w:szCs w:val="18"/>
                <w:lang w:val="en-GB"/>
              </w:rPr>
              <w:t xml:space="preserve"> </w:t>
            </w:r>
            <w:r w:rsidR="00142CEF" w:rsidRPr="00065189">
              <w:rPr>
                <w:rFonts w:cs="Arial"/>
                <w:sz w:val="18"/>
                <w:szCs w:val="18"/>
                <w:lang w:val="en-GB"/>
              </w:rPr>
              <w:t>t</w:t>
            </w:r>
            <w:r w:rsidR="000A11B2" w:rsidRPr="00065189">
              <w:rPr>
                <w:rFonts w:cs="Arial"/>
                <w:sz w:val="18"/>
                <w:szCs w:val="18"/>
                <w:lang w:val="en-GB"/>
              </w:rPr>
              <w:t>o 01.5</w:t>
            </w:r>
            <w:r w:rsidR="000219C8" w:rsidRPr="00065189">
              <w:rPr>
                <w:rFonts w:cs="Arial"/>
                <w:sz w:val="18"/>
                <w:szCs w:val="18"/>
                <w:lang w:val="en-GB"/>
              </w:rPr>
              <w:t>0</w:t>
            </w:r>
            <w:r w:rsidR="000A11B2" w:rsidRPr="00065189">
              <w:rPr>
                <w:rFonts w:cs="Arial"/>
                <w:sz w:val="18"/>
                <w:szCs w:val="18"/>
                <w:lang w:val="en-GB"/>
              </w:rPr>
              <w:t xml:space="preserve"> </w:t>
            </w:r>
            <w:r w:rsidR="00142CEF" w:rsidRPr="00065189">
              <w:rPr>
                <w:rFonts w:cs="Arial"/>
                <w:sz w:val="18"/>
                <w:szCs w:val="18"/>
                <w:lang w:val="en-GB"/>
              </w:rPr>
              <w:t xml:space="preserve">except for </w:t>
            </w:r>
            <w:r w:rsidR="00DC71ED" w:rsidRPr="00065189">
              <w:rPr>
                <w:rFonts w:cs="Arial"/>
                <w:sz w:val="18"/>
                <w:szCs w:val="18"/>
                <w:lang w:val="en-GB"/>
              </w:rPr>
              <w:t>01.15</w:t>
            </w:r>
          </w:p>
          <w:p w14:paraId="57BD75E4" w14:textId="75D32F28" w:rsidR="004B491D" w:rsidRPr="00065189" w:rsidRDefault="000A11B2" w:rsidP="00370249">
            <w:pPr>
              <w:spacing w:before="40" w:after="40" w:line="276" w:lineRule="auto"/>
              <w:rPr>
                <w:rFonts w:cs="Arial"/>
                <w:b/>
                <w:sz w:val="18"/>
                <w:szCs w:val="18"/>
                <w:lang w:val="en-GB"/>
              </w:rPr>
            </w:pPr>
            <w:r w:rsidRPr="00065189">
              <w:rPr>
                <w:rFonts w:cs="Arial"/>
                <w:sz w:val="18"/>
                <w:szCs w:val="18"/>
                <w:lang w:val="en-GB"/>
              </w:rPr>
              <w:t xml:space="preserve">03 </w:t>
            </w:r>
            <w:r w:rsidR="00544E85" w:rsidRPr="00065189">
              <w:rPr>
                <w:rFonts w:cs="Arial"/>
                <w:sz w:val="18"/>
                <w:szCs w:val="18"/>
                <w:lang w:val="en-GB"/>
              </w:rPr>
              <w:t>–</w:t>
            </w:r>
            <w:r w:rsidRPr="00065189">
              <w:rPr>
                <w:rFonts w:cs="Arial"/>
                <w:sz w:val="18"/>
                <w:szCs w:val="18"/>
                <w:lang w:val="en-GB"/>
              </w:rPr>
              <w:t xml:space="preserve"> </w:t>
            </w:r>
            <w:r w:rsidR="00142CEF" w:rsidRPr="00065189">
              <w:rPr>
                <w:rFonts w:cs="Arial"/>
                <w:sz w:val="18"/>
                <w:szCs w:val="18"/>
                <w:lang w:val="en-GB"/>
              </w:rPr>
              <w:t>Fishing</w:t>
            </w:r>
          </w:p>
        </w:tc>
        <w:tc>
          <w:tcPr>
            <w:tcW w:w="4509" w:type="dxa"/>
          </w:tcPr>
          <w:p w14:paraId="1A608CF0" w14:textId="54662BA9" w:rsidR="004B491D" w:rsidRPr="00065189" w:rsidRDefault="00641B96" w:rsidP="00480C46">
            <w:pPr>
              <w:spacing w:before="40" w:after="40" w:line="276" w:lineRule="auto"/>
              <w:jc w:val="both"/>
              <w:rPr>
                <w:rFonts w:cs="Arial"/>
                <w:b/>
                <w:sz w:val="18"/>
                <w:szCs w:val="18"/>
                <w:lang w:val="en-GB"/>
              </w:rPr>
            </w:pPr>
            <w:r w:rsidRPr="00065189">
              <w:rPr>
                <w:rFonts w:cs="Arial"/>
                <w:sz w:val="18"/>
                <w:szCs w:val="18"/>
                <w:lang w:val="en-GB"/>
              </w:rPr>
              <w:t xml:space="preserve">01.15 </w:t>
            </w:r>
            <w:r w:rsidR="00480C46" w:rsidRPr="00065189">
              <w:rPr>
                <w:rFonts w:cs="Arial"/>
                <w:sz w:val="18"/>
                <w:szCs w:val="18"/>
                <w:lang w:val="en-GB"/>
              </w:rPr>
              <w:t>Growing of tobacco</w:t>
            </w:r>
          </w:p>
        </w:tc>
      </w:tr>
      <w:tr w:rsidR="00186872" w:rsidRPr="00065189" w14:paraId="14BAD719" w14:textId="77777777" w:rsidTr="005B15ED">
        <w:tc>
          <w:tcPr>
            <w:tcW w:w="4508" w:type="dxa"/>
          </w:tcPr>
          <w:p w14:paraId="2F253E38" w14:textId="526F47C8" w:rsidR="000A11B2" w:rsidRPr="00065189" w:rsidRDefault="004B491D" w:rsidP="00370249">
            <w:pPr>
              <w:spacing w:before="40" w:after="40" w:line="276" w:lineRule="auto"/>
              <w:rPr>
                <w:rFonts w:cs="Arial"/>
                <w:bCs/>
                <w:sz w:val="18"/>
                <w:szCs w:val="18"/>
                <w:lang w:val="en-GB"/>
              </w:rPr>
            </w:pPr>
            <w:r w:rsidRPr="00065189">
              <w:rPr>
                <w:rFonts w:cs="Arial"/>
                <w:bCs/>
                <w:sz w:val="18"/>
                <w:szCs w:val="18"/>
                <w:lang w:val="en-GB"/>
              </w:rPr>
              <w:t>Pr</w:t>
            </w:r>
            <w:r w:rsidR="00142CEF" w:rsidRPr="00065189">
              <w:rPr>
                <w:rFonts w:cs="Arial"/>
                <w:bCs/>
                <w:sz w:val="18"/>
                <w:szCs w:val="18"/>
                <w:lang w:val="en-GB"/>
              </w:rPr>
              <w:t xml:space="preserve">ocessing industry </w:t>
            </w:r>
            <w:r w:rsidR="002805F2" w:rsidRPr="00065189">
              <w:rPr>
                <w:rFonts w:cs="Arial"/>
                <w:bCs/>
                <w:sz w:val="18"/>
                <w:szCs w:val="18"/>
                <w:lang w:val="en-GB"/>
              </w:rPr>
              <w:t>(</w:t>
            </w:r>
            <w:r w:rsidR="00142CEF" w:rsidRPr="00065189">
              <w:rPr>
                <w:rFonts w:cs="Arial"/>
                <w:bCs/>
                <w:sz w:val="18"/>
                <w:szCs w:val="18"/>
                <w:lang w:val="en-GB"/>
              </w:rPr>
              <w:t xml:space="preserve">Section </w:t>
            </w:r>
            <w:r w:rsidR="002805F2" w:rsidRPr="00065189">
              <w:rPr>
                <w:rFonts w:cs="Arial"/>
                <w:bCs/>
                <w:sz w:val="18"/>
                <w:szCs w:val="18"/>
                <w:lang w:val="en-GB"/>
              </w:rPr>
              <w:t>C)</w:t>
            </w:r>
          </w:p>
          <w:p w14:paraId="288FDE88" w14:textId="47135B26" w:rsidR="004B491D" w:rsidRPr="00065189" w:rsidRDefault="00142CEF" w:rsidP="00480C46">
            <w:pPr>
              <w:spacing w:before="40" w:after="40" w:line="276" w:lineRule="auto"/>
              <w:rPr>
                <w:rFonts w:cs="Arial"/>
                <w:bCs/>
                <w:sz w:val="18"/>
                <w:szCs w:val="18"/>
                <w:lang w:val="en-GB"/>
              </w:rPr>
            </w:pPr>
            <w:r w:rsidRPr="00065189">
              <w:rPr>
                <w:rFonts w:cs="Arial"/>
                <w:bCs/>
                <w:sz w:val="18"/>
                <w:szCs w:val="18"/>
                <w:lang w:val="en-GB"/>
              </w:rPr>
              <w:t xml:space="preserve">all groups and classes </w:t>
            </w:r>
            <w:r w:rsidR="00480C46" w:rsidRPr="00065189">
              <w:rPr>
                <w:rFonts w:cs="Arial"/>
                <w:bCs/>
                <w:sz w:val="18"/>
                <w:szCs w:val="18"/>
                <w:lang w:val="en-GB"/>
              </w:rPr>
              <w:t>except for the listed exemptions</w:t>
            </w:r>
          </w:p>
        </w:tc>
        <w:tc>
          <w:tcPr>
            <w:tcW w:w="4509" w:type="dxa"/>
          </w:tcPr>
          <w:p w14:paraId="07C909E5" w14:textId="5D932192" w:rsidR="000A11B2" w:rsidRPr="00065189" w:rsidRDefault="000A11B2" w:rsidP="00370249">
            <w:pPr>
              <w:spacing w:before="40" w:after="40" w:line="276" w:lineRule="auto"/>
              <w:jc w:val="both"/>
              <w:rPr>
                <w:rFonts w:cs="Arial"/>
                <w:sz w:val="18"/>
                <w:szCs w:val="18"/>
                <w:lang w:val="en-GB"/>
              </w:rPr>
            </w:pPr>
            <w:r w:rsidRPr="00065189">
              <w:rPr>
                <w:rFonts w:cs="Arial"/>
                <w:sz w:val="18"/>
                <w:szCs w:val="18"/>
                <w:lang w:val="en-GB"/>
              </w:rPr>
              <w:t xml:space="preserve">11 </w:t>
            </w:r>
            <w:r w:rsidR="00544E85" w:rsidRPr="00065189">
              <w:rPr>
                <w:rFonts w:cs="Arial"/>
                <w:sz w:val="18"/>
                <w:szCs w:val="18"/>
                <w:lang w:val="en-GB"/>
              </w:rPr>
              <w:t>–</w:t>
            </w:r>
            <w:r w:rsidRPr="00065189">
              <w:rPr>
                <w:rFonts w:cs="Arial"/>
                <w:sz w:val="18"/>
                <w:szCs w:val="18"/>
                <w:lang w:val="en-GB"/>
              </w:rPr>
              <w:t xml:space="preserve"> </w:t>
            </w:r>
            <w:r w:rsidR="00480C46" w:rsidRPr="00065189">
              <w:rPr>
                <w:rFonts w:cs="Arial"/>
                <w:sz w:val="18"/>
                <w:szCs w:val="18"/>
                <w:lang w:val="en-GB"/>
              </w:rPr>
              <w:t xml:space="preserve">Manufacture of beverages from </w:t>
            </w:r>
            <w:r w:rsidRPr="00065189">
              <w:rPr>
                <w:rFonts w:cs="Arial"/>
                <w:sz w:val="18"/>
                <w:szCs w:val="18"/>
                <w:lang w:val="en-GB"/>
              </w:rPr>
              <w:t xml:space="preserve">11.01 </w:t>
            </w:r>
            <w:r w:rsidR="00480C46" w:rsidRPr="00065189">
              <w:rPr>
                <w:rFonts w:cs="Arial"/>
                <w:sz w:val="18"/>
                <w:szCs w:val="18"/>
                <w:lang w:val="en-GB"/>
              </w:rPr>
              <w:t>t</w:t>
            </w:r>
            <w:r w:rsidRPr="00065189">
              <w:rPr>
                <w:rFonts w:cs="Arial"/>
                <w:sz w:val="18"/>
                <w:szCs w:val="18"/>
                <w:lang w:val="en-GB"/>
              </w:rPr>
              <w:t>o 11.06</w:t>
            </w:r>
          </w:p>
          <w:p w14:paraId="6B4B7EF4" w14:textId="7EEF3DE9" w:rsidR="000A11B2" w:rsidRPr="00065189" w:rsidRDefault="000A11B2" w:rsidP="00370249">
            <w:pPr>
              <w:spacing w:before="40" w:after="40" w:line="276" w:lineRule="auto"/>
              <w:jc w:val="both"/>
              <w:rPr>
                <w:rFonts w:cs="Arial"/>
                <w:sz w:val="18"/>
                <w:szCs w:val="18"/>
                <w:lang w:val="en-GB"/>
              </w:rPr>
            </w:pPr>
            <w:r w:rsidRPr="00065189">
              <w:rPr>
                <w:rFonts w:cs="Arial"/>
                <w:sz w:val="18"/>
                <w:szCs w:val="18"/>
                <w:lang w:val="en-GB"/>
              </w:rPr>
              <w:t xml:space="preserve">12 </w:t>
            </w:r>
            <w:r w:rsidR="00544E85" w:rsidRPr="00065189">
              <w:rPr>
                <w:rFonts w:cs="Arial"/>
                <w:sz w:val="18"/>
                <w:szCs w:val="18"/>
                <w:lang w:val="en-GB"/>
              </w:rPr>
              <w:t xml:space="preserve">– </w:t>
            </w:r>
            <w:r w:rsidR="00F30D01" w:rsidRPr="00065189">
              <w:rPr>
                <w:rFonts w:cs="Arial"/>
                <w:sz w:val="18"/>
                <w:szCs w:val="18"/>
                <w:lang w:val="en-GB"/>
              </w:rPr>
              <w:t>Manufacture of tobacco products</w:t>
            </w:r>
          </w:p>
          <w:p w14:paraId="3258D39C" w14:textId="5783216C" w:rsidR="00641B96" w:rsidRPr="00065189" w:rsidRDefault="000A11B2" w:rsidP="00C66D34">
            <w:pPr>
              <w:spacing w:before="40" w:after="40" w:line="276" w:lineRule="auto"/>
              <w:jc w:val="both"/>
              <w:rPr>
                <w:rFonts w:cs="Arial"/>
                <w:sz w:val="18"/>
                <w:szCs w:val="18"/>
                <w:lang w:val="en-GB"/>
              </w:rPr>
            </w:pPr>
            <w:r w:rsidRPr="00065189">
              <w:rPr>
                <w:rFonts w:cs="Arial"/>
                <w:sz w:val="18"/>
                <w:szCs w:val="18"/>
                <w:lang w:val="en-GB"/>
              </w:rPr>
              <w:t xml:space="preserve">18 </w:t>
            </w:r>
            <w:r w:rsidR="00544E85" w:rsidRPr="00065189">
              <w:rPr>
                <w:rFonts w:cs="Arial"/>
                <w:sz w:val="18"/>
                <w:szCs w:val="18"/>
                <w:lang w:val="en-GB"/>
              </w:rPr>
              <w:t>–</w:t>
            </w:r>
            <w:r w:rsidRPr="00065189">
              <w:rPr>
                <w:rFonts w:cs="Arial"/>
                <w:sz w:val="18"/>
                <w:szCs w:val="18"/>
                <w:lang w:val="en-GB"/>
              </w:rPr>
              <w:t xml:space="preserve"> </w:t>
            </w:r>
            <w:r w:rsidR="00F30D01" w:rsidRPr="00065189">
              <w:rPr>
                <w:rFonts w:cs="Arial"/>
                <w:sz w:val="18"/>
                <w:szCs w:val="18"/>
                <w:lang w:val="en-GB"/>
              </w:rPr>
              <w:t>Printing and reproduction of recorded media</w:t>
            </w:r>
            <w:r w:rsidR="00491672" w:rsidRPr="00065189">
              <w:rPr>
                <w:rFonts w:cs="Arial"/>
                <w:sz w:val="18"/>
                <w:szCs w:val="18"/>
                <w:lang w:val="en-GB"/>
              </w:rPr>
              <w:t xml:space="preserve"> </w:t>
            </w:r>
            <w:r w:rsidR="00F30D01" w:rsidRPr="00065189">
              <w:rPr>
                <w:rFonts w:cs="Arial"/>
                <w:sz w:val="18"/>
                <w:szCs w:val="18"/>
                <w:lang w:val="en-GB"/>
              </w:rPr>
              <w:t xml:space="preserve">only </w:t>
            </w:r>
            <w:r w:rsidR="00A47B26" w:rsidRPr="00065189">
              <w:rPr>
                <w:rFonts w:cs="Arial"/>
                <w:sz w:val="18"/>
                <w:szCs w:val="18"/>
                <w:lang w:val="en-GB"/>
              </w:rPr>
              <w:t>in the case of</w:t>
            </w:r>
            <w:r w:rsidR="00F30D01" w:rsidRPr="00065189">
              <w:rPr>
                <w:rFonts w:cs="Arial"/>
                <w:sz w:val="18"/>
                <w:szCs w:val="18"/>
                <w:lang w:val="en-GB"/>
              </w:rPr>
              <w:t xml:space="preserve"> loan applicants engaged in or</w:t>
            </w:r>
            <w:r w:rsidR="00491672" w:rsidRPr="00065189">
              <w:rPr>
                <w:rFonts w:cs="Arial"/>
                <w:sz w:val="18"/>
                <w:szCs w:val="18"/>
                <w:lang w:val="en-GB"/>
              </w:rPr>
              <w:t xml:space="preserve"> </w:t>
            </w:r>
            <w:r w:rsidR="00F30D01" w:rsidRPr="00065189">
              <w:rPr>
                <w:rFonts w:cs="Arial"/>
                <w:sz w:val="18"/>
                <w:szCs w:val="18"/>
                <w:lang w:val="en-GB"/>
              </w:rPr>
              <w:t>being related in terms of ownership with business</w:t>
            </w:r>
            <w:r w:rsidR="00491672" w:rsidRPr="00065189">
              <w:rPr>
                <w:rFonts w:cs="Arial"/>
                <w:sz w:val="18"/>
                <w:szCs w:val="18"/>
                <w:lang w:val="en-GB"/>
              </w:rPr>
              <w:t xml:space="preserve"> </w:t>
            </w:r>
            <w:r w:rsidR="00F30D01" w:rsidRPr="00065189">
              <w:rPr>
                <w:rFonts w:cs="Arial"/>
                <w:sz w:val="18"/>
                <w:szCs w:val="18"/>
                <w:lang w:val="en-GB"/>
              </w:rPr>
              <w:t xml:space="preserve">entities </w:t>
            </w:r>
            <w:r w:rsidR="00F30D01" w:rsidRPr="00065189">
              <w:rPr>
                <w:rFonts w:cs="Arial"/>
                <w:sz w:val="18"/>
                <w:szCs w:val="18"/>
                <w:lang w:val="en-GB"/>
              </w:rPr>
              <w:lastRenderedPageBreak/>
              <w:t>engaged in publishing of newspapers</w:t>
            </w:r>
            <w:r w:rsidR="00491672" w:rsidRPr="00065189">
              <w:rPr>
                <w:rFonts w:cs="Arial"/>
                <w:sz w:val="18"/>
                <w:szCs w:val="18"/>
                <w:lang w:val="en-GB"/>
              </w:rPr>
              <w:t xml:space="preserve"> </w:t>
            </w:r>
            <w:r w:rsidR="00F30D01" w:rsidRPr="00065189">
              <w:rPr>
                <w:rFonts w:cs="Arial"/>
                <w:sz w:val="18"/>
                <w:szCs w:val="18"/>
                <w:lang w:val="en-GB"/>
              </w:rPr>
              <w:t>and other periodicals, radio and television</w:t>
            </w:r>
            <w:r w:rsidR="008D1C8D" w:rsidRPr="00065189">
              <w:rPr>
                <w:rFonts w:cs="Arial"/>
                <w:sz w:val="18"/>
                <w:szCs w:val="18"/>
                <w:lang w:val="en-GB"/>
              </w:rPr>
              <w:t xml:space="preserve"> </w:t>
            </w:r>
            <w:r w:rsidR="00F30D01" w:rsidRPr="00065189">
              <w:rPr>
                <w:rFonts w:cs="Arial"/>
                <w:sz w:val="18"/>
                <w:szCs w:val="18"/>
                <w:lang w:val="en-GB"/>
              </w:rPr>
              <w:t>programme activities and broadcasting, news</w:t>
            </w:r>
            <w:r w:rsidR="005E19D8" w:rsidRPr="00065189">
              <w:rPr>
                <w:rFonts w:cs="Arial"/>
                <w:sz w:val="18"/>
                <w:szCs w:val="18"/>
                <w:lang w:val="en-GB"/>
              </w:rPr>
              <w:t xml:space="preserve"> </w:t>
            </w:r>
            <w:r w:rsidR="00C66D34" w:rsidRPr="00065189">
              <w:rPr>
                <w:rFonts w:cs="Arial"/>
                <w:sz w:val="18"/>
                <w:szCs w:val="18"/>
                <w:lang w:val="en-GB"/>
              </w:rPr>
              <w:t>agency activities and service activities of</w:t>
            </w:r>
            <w:r w:rsidR="005E19D8" w:rsidRPr="00065189">
              <w:rPr>
                <w:rFonts w:cs="Arial"/>
                <w:sz w:val="18"/>
                <w:szCs w:val="18"/>
                <w:lang w:val="en-GB"/>
              </w:rPr>
              <w:t xml:space="preserve"> </w:t>
            </w:r>
            <w:r w:rsidR="00C66D34" w:rsidRPr="00065189">
              <w:rPr>
                <w:rFonts w:cs="Arial"/>
                <w:sz w:val="18"/>
                <w:szCs w:val="18"/>
                <w:lang w:val="en-GB"/>
              </w:rPr>
              <w:t>advertising and public relations agencies</w:t>
            </w:r>
          </w:p>
        </w:tc>
      </w:tr>
      <w:tr w:rsidR="00186872" w:rsidRPr="00065189" w14:paraId="768B6EF9" w14:textId="77777777" w:rsidTr="005B15ED">
        <w:trPr>
          <w:trHeight w:val="355"/>
        </w:trPr>
        <w:tc>
          <w:tcPr>
            <w:tcW w:w="4508" w:type="dxa"/>
          </w:tcPr>
          <w:p w14:paraId="5EDAA23D" w14:textId="55781356" w:rsidR="002F37B0" w:rsidRPr="00065189" w:rsidRDefault="008542FF" w:rsidP="00370249">
            <w:pPr>
              <w:spacing w:before="40" w:after="40" w:line="276" w:lineRule="auto"/>
              <w:rPr>
                <w:rFonts w:cs="Arial"/>
                <w:sz w:val="18"/>
                <w:szCs w:val="18"/>
                <w:lang w:val="en-GB"/>
              </w:rPr>
            </w:pPr>
            <w:r w:rsidRPr="00065189">
              <w:rPr>
                <w:rFonts w:cs="Arial"/>
                <w:sz w:val="18"/>
                <w:szCs w:val="18"/>
                <w:lang w:val="en-GB"/>
              </w:rPr>
              <w:lastRenderedPageBreak/>
              <w:t>62</w:t>
            </w:r>
            <w:r w:rsidR="00DC71ED" w:rsidRPr="00065189">
              <w:rPr>
                <w:rFonts w:cs="Arial"/>
                <w:sz w:val="18"/>
                <w:szCs w:val="18"/>
                <w:lang w:val="en-GB"/>
              </w:rPr>
              <w:t xml:space="preserve"> </w:t>
            </w:r>
            <w:r w:rsidR="00544E85" w:rsidRPr="00065189">
              <w:rPr>
                <w:rFonts w:cs="Arial"/>
                <w:sz w:val="18"/>
                <w:szCs w:val="18"/>
                <w:lang w:val="en-GB"/>
              </w:rPr>
              <w:t>–</w:t>
            </w:r>
            <w:r w:rsidR="00DC71ED" w:rsidRPr="00065189">
              <w:rPr>
                <w:rFonts w:cs="Arial"/>
                <w:sz w:val="18"/>
                <w:szCs w:val="18"/>
                <w:lang w:val="en-GB"/>
              </w:rPr>
              <w:t xml:space="preserve"> </w:t>
            </w:r>
            <w:r w:rsidR="00C66D34" w:rsidRPr="00065189">
              <w:rPr>
                <w:rFonts w:cs="Arial"/>
                <w:sz w:val="18"/>
                <w:szCs w:val="18"/>
                <w:lang w:val="en-GB"/>
              </w:rPr>
              <w:t xml:space="preserve">Computer programming, consultancy and </w:t>
            </w:r>
            <w:r w:rsidR="00A84E45" w:rsidRPr="00065189">
              <w:rPr>
                <w:rFonts w:cs="Arial"/>
                <w:sz w:val="18"/>
                <w:szCs w:val="18"/>
                <w:lang w:val="en-GB"/>
              </w:rPr>
              <w:t>related services</w:t>
            </w:r>
          </w:p>
        </w:tc>
        <w:tc>
          <w:tcPr>
            <w:tcW w:w="4509" w:type="dxa"/>
            <w:vAlign w:val="center"/>
          </w:tcPr>
          <w:p w14:paraId="048ED4EE" w14:textId="473D66D6" w:rsidR="004B491D" w:rsidRPr="00065189" w:rsidRDefault="002805F2" w:rsidP="00370249">
            <w:pPr>
              <w:spacing w:before="40" w:after="40" w:line="276" w:lineRule="auto"/>
              <w:jc w:val="both"/>
              <w:rPr>
                <w:rFonts w:cs="Arial"/>
                <w:sz w:val="18"/>
                <w:szCs w:val="18"/>
                <w:lang w:val="en-GB"/>
              </w:rPr>
            </w:pPr>
            <w:r w:rsidRPr="00065189">
              <w:rPr>
                <w:rFonts w:cs="Arial"/>
                <w:sz w:val="18"/>
                <w:szCs w:val="18"/>
                <w:lang w:val="en-GB"/>
              </w:rPr>
              <w:t>-</w:t>
            </w:r>
          </w:p>
        </w:tc>
      </w:tr>
    </w:tbl>
    <w:p w14:paraId="1B2071DE" w14:textId="4F1D1204" w:rsidR="00CC0DFA" w:rsidRPr="00065189" w:rsidRDefault="00A0561C" w:rsidP="001A4F54">
      <w:pPr>
        <w:pStyle w:val="HeadingA"/>
        <w:numPr>
          <w:ilvl w:val="0"/>
          <w:numId w:val="4"/>
        </w:numPr>
        <w:spacing w:after="240"/>
        <w:ind w:left="357" w:hanging="357"/>
        <w:outlineLvl w:val="0"/>
        <w:rPr>
          <w:rFonts w:ascii="Arial" w:hAnsi="Arial" w:cs="Arial"/>
          <w:sz w:val="24"/>
          <w:szCs w:val="24"/>
          <w:lang w:val="en-GB"/>
        </w:rPr>
      </w:pPr>
      <w:bookmarkStart w:id="55" w:name="_Toc137558529"/>
      <w:bookmarkStart w:id="56" w:name="_Hlk93329816"/>
      <w:bookmarkStart w:id="57" w:name="_Hlk72075681"/>
      <w:bookmarkStart w:id="58" w:name="_Hlk93317538"/>
      <w:bookmarkStart w:id="59" w:name="_Toc534881545"/>
      <w:r w:rsidRPr="00065189">
        <w:rPr>
          <w:rFonts w:ascii="Arial" w:hAnsi="Arial" w:cs="Arial"/>
          <w:sz w:val="24"/>
          <w:szCs w:val="24"/>
          <w:lang w:val="en-GB"/>
        </w:rPr>
        <w:t>Special Types of Investment</w:t>
      </w:r>
      <w:bookmarkEnd w:id="55"/>
    </w:p>
    <w:p w14:paraId="45D86C55" w14:textId="656D1CE6" w:rsidR="00F471A4" w:rsidRPr="00065189" w:rsidRDefault="00A0561C" w:rsidP="008E347B">
      <w:pPr>
        <w:pStyle w:val="HeadingA"/>
        <w:numPr>
          <w:ilvl w:val="0"/>
          <w:numId w:val="0"/>
        </w:numPr>
        <w:spacing w:before="240" w:after="0" w:line="276" w:lineRule="auto"/>
        <w:outlineLvl w:val="2"/>
        <w:rPr>
          <w:rFonts w:ascii="Arial" w:hAnsi="Arial" w:cs="Arial"/>
          <w:color w:val="auto"/>
          <w:sz w:val="20"/>
          <w:szCs w:val="20"/>
          <w:lang w:val="en-GB"/>
        </w:rPr>
      </w:pPr>
      <w:bookmarkStart w:id="60" w:name="_Toc137558530"/>
      <w:r w:rsidRPr="00065189">
        <w:rPr>
          <w:rFonts w:ascii="Arial" w:hAnsi="Arial" w:cs="Arial"/>
          <w:color w:val="auto"/>
          <w:sz w:val="20"/>
          <w:szCs w:val="20"/>
          <w:lang w:val="en-GB"/>
        </w:rPr>
        <w:t xml:space="preserve">Green </w:t>
      </w:r>
      <w:r w:rsidR="00735E87" w:rsidRPr="00065189">
        <w:rPr>
          <w:rFonts w:ascii="Arial" w:hAnsi="Arial" w:cs="Arial"/>
          <w:color w:val="auto"/>
          <w:sz w:val="20"/>
          <w:szCs w:val="20"/>
          <w:lang w:val="en-GB"/>
        </w:rPr>
        <w:t>t</w:t>
      </w:r>
      <w:r w:rsidRPr="00065189">
        <w:rPr>
          <w:rFonts w:ascii="Arial" w:hAnsi="Arial" w:cs="Arial"/>
          <w:color w:val="auto"/>
          <w:sz w:val="20"/>
          <w:szCs w:val="20"/>
          <w:lang w:val="en-GB"/>
        </w:rPr>
        <w:t>ransition</w:t>
      </w:r>
      <w:bookmarkEnd w:id="60"/>
    </w:p>
    <w:bookmarkEnd w:id="56"/>
    <w:p w14:paraId="42ACB6CF" w14:textId="0C8D4A7C" w:rsidR="00877644" w:rsidRPr="00065189" w:rsidRDefault="00F471A4" w:rsidP="00DD1B22">
      <w:pPr>
        <w:shd w:val="clear" w:color="auto" w:fill="FFFFFF"/>
        <w:spacing w:line="276" w:lineRule="auto"/>
        <w:jc w:val="both"/>
        <w:rPr>
          <w:rFonts w:eastAsia="Times New Roman" w:cs="Arial"/>
          <w:szCs w:val="20"/>
          <w:lang w:val="en-GB"/>
        </w:rPr>
      </w:pPr>
      <w:r w:rsidRPr="00065189">
        <w:rPr>
          <w:rFonts w:eastAsia="Times New Roman" w:cs="Arial"/>
          <w:szCs w:val="20"/>
          <w:lang w:val="en-GB"/>
        </w:rPr>
        <w:t>P</w:t>
      </w:r>
      <w:r w:rsidR="00DD1B22" w:rsidRPr="00065189">
        <w:rPr>
          <w:rFonts w:eastAsia="Times New Roman" w:cs="Arial"/>
          <w:szCs w:val="20"/>
          <w:lang w:val="en-GB"/>
        </w:rPr>
        <w:t>rojects that, according to the EU taxonomy criteria and accompanying regulations (delegated acts),</w:t>
      </w:r>
      <w:r w:rsidR="00382FBC" w:rsidRPr="00065189">
        <w:rPr>
          <w:rFonts w:eastAsia="Times New Roman" w:cs="Arial"/>
          <w:szCs w:val="20"/>
          <w:lang w:val="en-GB"/>
        </w:rPr>
        <w:t xml:space="preserve"> </w:t>
      </w:r>
      <w:r w:rsidR="00DD1B22" w:rsidRPr="00065189">
        <w:rPr>
          <w:rFonts w:eastAsia="Times New Roman" w:cs="Arial"/>
          <w:szCs w:val="20"/>
          <w:lang w:val="en-GB"/>
        </w:rPr>
        <w:t>contribute significantly to the achievement of at least one of the following environmental objectives</w:t>
      </w:r>
      <w:r w:rsidRPr="00065189">
        <w:rPr>
          <w:rFonts w:eastAsia="Times New Roman" w:cs="Arial"/>
          <w:szCs w:val="20"/>
          <w:lang w:val="en-GB"/>
        </w:rPr>
        <w:t>:</w:t>
      </w:r>
    </w:p>
    <w:p w14:paraId="17892448" w14:textId="77777777" w:rsidR="00382FBC" w:rsidRPr="00065189" w:rsidRDefault="00C35796" w:rsidP="00382FBC">
      <w:pPr>
        <w:pStyle w:val="ListParagraph"/>
        <w:numPr>
          <w:ilvl w:val="0"/>
          <w:numId w:val="8"/>
        </w:numPr>
        <w:spacing w:line="276" w:lineRule="auto"/>
        <w:jc w:val="both"/>
        <w:rPr>
          <w:rFonts w:eastAsia="Times New Roman" w:cs="Arial"/>
          <w:szCs w:val="20"/>
          <w:lang w:val="en-GB"/>
        </w:rPr>
      </w:pPr>
      <w:r w:rsidRPr="00065189">
        <w:rPr>
          <w:rFonts w:eastAsia="Times New Roman" w:cs="Arial"/>
          <w:szCs w:val="20"/>
          <w:lang w:val="en-GB"/>
        </w:rPr>
        <w:t>Climate change mitigation;</w:t>
      </w:r>
    </w:p>
    <w:p w14:paraId="0D832BC5" w14:textId="77777777" w:rsidR="00BC789C" w:rsidRPr="00065189" w:rsidRDefault="00C35796" w:rsidP="00BC789C">
      <w:pPr>
        <w:pStyle w:val="ListParagraph"/>
        <w:numPr>
          <w:ilvl w:val="0"/>
          <w:numId w:val="8"/>
        </w:numPr>
        <w:spacing w:line="276" w:lineRule="auto"/>
        <w:jc w:val="both"/>
        <w:rPr>
          <w:rFonts w:eastAsia="Times New Roman" w:cs="Arial"/>
          <w:szCs w:val="20"/>
          <w:lang w:val="en-GB"/>
        </w:rPr>
      </w:pPr>
      <w:r w:rsidRPr="00065189">
        <w:rPr>
          <w:rFonts w:eastAsia="Times New Roman" w:cs="Arial"/>
          <w:szCs w:val="20"/>
          <w:lang w:val="en-GB"/>
        </w:rPr>
        <w:t>Climate change adaptation;</w:t>
      </w:r>
    </w:p>
    <w:p w14:paraId="33FC6FFD" w14:textId="77777777" w:rsidR="00BC789C" w:rsidRPr="00065189" w:rsidRDefault="00C35796" w:rsidP="00BC789C">
      <w:pPr>
        <w:pStyle w:val="ListParagraph"/>
        <w:numPr>
          <w:ilvl w:val="0"/>
          <w:numId w:val="8"/>
        </w:numPr>
        <w:spacing w:line="276" w:lineRule="auto"/>
        <w:jc w:val="both"/>
        <w:rPr>
          <w:rFonts w:eastAsia="Times New Roman" w:cs="Arial"/>
          <w:szCs w:val="20"/>
          <w:lang w:val="en-GB"/>
        </w:rPr>
      </w:pPr>
      <w:r w:rsidRPr="00065189">
        <w:rPr>
          <w:rFonts w:eastAsia="Times New Roman" w:cs="Arial"/>
          <w:szCs w:val="20"/>
          <w:lang w:val="en-GB"/>
        </w:rPr>
        <w:t>Sustainable use and protection of water and marine resources;</w:t>
      </w:r>
    </w:p>
    <w:p w14:paraId="356C6438" w14:textId="77777777" w:rsidR="00BC789C" w:rsidRPr="00065189" w:rsidRDefault="00C35796" w:rsidP="00BC789C">
      <w:pPr>
        <w:pStyle w:val="ListParagraph"/>
        <w:numPr>
          <w:ilvl w:val="0"/>
          <w:numId w:val="8"/>
        </w:numPr>
        <w:spacing w:line="276" w:lineRule="auto"/>
        <w:jc w:val="both"/>
        <w:rPr>
          <w:rFonts w:eastAsia="Times New Roman" w:cs="Arial"/>
          <w:szCs w:val="20"/>
          <w:lang w:val="en-GB"/>
        </w:rPr>
      </w:pPr>
      <w:r w:rsidRPr="00065189">
        <w:rPr>
          <w:rFonts w:eastAsia="Times New Roman" w:cs="Arial"/>
          <w:szCs w:val="20"/>
          <w:lang w:val="en-GB"/>
        </w:rPr>
        <w:t>Transition to a circular economy;</w:t>
      </w:r>
    </w:p>
    <w:p w14:paraId="38301049" w14:textId="77777777" w:rsidR="00BC789C" w:rsidRPr="00065189" w:rsidRDefault="00C35796" w:rsidP="00BC789C">
      <w:pPr>
        <w:pStyle w:val="ListParagraph"/>
        <w:numPr>
          <w:ilvl w:val="0"/>
          <w:numId w:val="8"/>
        </w:numPr>
        <w:spacing w:line="276" w:lineRule="auto"/>
        <w:jc w:val="both"/>
        <w:rPr>
          <w:rFonts w:eastAsia="Times New Roman" w:cs="Arial"/>
          <w:szCs w:val="20"/>
          <w:lang w:val="en-GB"/>
        </w:rPr>
      </w:pPr>
      <w:r w:rsidRPr="00065189">
        <w:rPr>
          <w:rFonts w:eastAsia="Times New Roman" w:cs="Arial"/>
          <w:szCs w:val="20"/>
          <w:lang w:val="en-GB"/>
        </w:rPr>
        <w:t>Pollution prevention and control;</w:t>
      </w:r>
    </w:p>
    <w:p w14:paraId="18EFE509" w14:textId="6444FE08" w:rsidR="00877644" w:rsidRPr="00065189" w:rsidRDefault="00C35796" w:rsidP="00276D2A">
      <w:pPr>
        <w:pStyle w:val="ListParagraph"/>
        <w:numPr>
          <w:ilvl w:val="0"/>
          <w:numId w:val="8"/>
        </w:numPr>
        <w:spacing w:line="276" w:lineRule="auto"/>
        <w:jc w:val="both"/>
        <w:rPr>
          <w:rFonts w:eastAsia="Times New Roman" w:cs="Arial"/>
          <w:szCs w:val="20"/>
          <w:lang w:val="en-GB"/>
        </w:rPr>
      </w:pPr>
      <w:r w:rsidRPr="00065189">
        <w:rPr>
          <w:rFonts w:eastAsia="Times New Roman" w:cs="Arial"/>
          <w:szCs w:val="20"/>
          <w:lang w:val="en-GB"/>
        </w:rPr>
        <w:t>Protection and restoration of biological diversity and ecosystems</w:t>
      </w:r>
      <w:r w:rsidR="00FC0DF2" w:rsidRPr="00065189">
        <w:rPr>
          <w:rFonts w:eastAsia="Times New Roman" w:cs="Arial"/>
          <w:szCs w:val="20"/>
          <w:lang w:val="en-GB"/>
        </w:rPr>
        <w:t>,</w:t>
      </w:r>
    </w:p>
    <w:p w14:paraId="4114827F" w14:textId="6903E52A" w:rsidR="00F471A4" w:rsidRPr="00065189" w:rsidRDefault="00FC0DF2" w:rsidP="00877644">
      <w:pPr>
        <w:spacing w:line="276" w:lineRule="auto"/>
        <w:jc w:val="both"/>
        <w:rPr>
          <w:rFonts w:eastAsia="Times New Roman" w:cs="Arial"/>
          <w:szCs w:val="20"/>
          <w:lang w:val="en-GB"/>
        </w:rPr>
      </w:pPr>
      <w:r w:rsidRPr="00065189">
        <w:rPr>
          <w:rFonts w:eastAsia="Times New Roman" w:cs="Arial"/>
          <w:szCs w:val="20"/>
          <w:lang w:val="en-GB"/>
        </w:rPr>
        <w:t>a</w:t>
      </w:r>
      <w:r w:rsidR="00C35796" w:rsidRPr="00065189">
        <w:rPr>
          <w:rFonts w:eastAsia="Times New Roman" w:cs="Arial"/>
          <w:szCs w:val="20"/>
          <w:lang w:val="en-GB"/>
        </w:rPr>
        <w:t xml:space="preserve">nd </w:t>
      </w:r>
      <w:r w:rsidR="002B028A" w:rsidRPr="00065189">
        <w:rPr>
          <w:rFonts w:eastAsia="Times New Roman" w:cs="Arial"/>
          <w:szCs w:val="20"/>
          <w:lang w:val="en-GB"/>
        </w:rPr>
        <w:t xml:space="preserve">that </w:t>
      </w:r>
      <w:r w:rsidR="00C35796" w:rsidRPr="00065189">
        <w:rPr>
          <w:rFonts w:eastAsia="Times New Roman" w:cs="Arial"/>
          <w:szCs w:val="20"/>
          <w:lang w:val="en-GB"/>
        </w:rPr>
        <w:t>at the same time satisfy the “do no significant harm” principle</w:t>
      </w:r>
      <w:r w:rsidRPr="00065189">
        <w:rPr>
          <w:rFonts w:eastAsia="Times New Roman" w:cs="Arial"/>
          <w:szCs w:val="20"/>
          <w:lang w:val="en-GB"/>
        </w:rPr>
        <w:t>.</w:t>
      </w:r>
    </w:p>
    <w:p w14:paraId="428AA1F1" w14:textId="40035D69" w:rsidR="001434F8" w:rsidRPr="00065189" w:rsidRDefault="00E137B0" w:rsidP="00E137B0">
      <w:pPr>
        <w:spacing w:line="276" w:lineRule="auto"/>
        <w:jc w:val="both"/>
        <w:rPr>
          <w:lang w:val="en-GB"/>
        </w:rPr>
      </w:pPr>
      <w:r w:rsidRPr="00065189">
        <w:rPr>
          <w:lang w:val="en-GB"/>
        </w:rPr>
        <w:t>Green transition projects include, among others, investments such as green technologies, business</w:t>
      </w:r>
      <w:r w:rsidR="00605F09" w:rsidRPr="00065189">
        <w:rPr>
          <w:lang w:val="en-GB"/>
        </w:rPr>
        <w:t xml:space="preserve"> </w:t>
      </w:r>
      <w:r w:rsidRPr="00065189">
        <w:rPr>
          <w:lang w:val="en-GB"/>
        </w:rPr>
        <w:t>models based on the circular economy, renewable energy sources, energy efficiency, etc</w:t>
      </w:r>
      <w:r w:rsidR="001434F8" w:rsidRPr="00065189">
        <w:rPr>
          <w:lang w:val="en-GB"/>
        </w:rPr>
        <w:t>.</w:t>
      </w:r>
    </w:p>
    <w:p w14:paraId="33B4506E" w14:textId="755E2271" w:rsidR="006D7174" w:rsidRPr="00065189" w:rsidRDefault="00DD2085">
      <w:pPr>
        <w:pStyle w:val="HeadingA"/>
        <w:numPr>
          <w:ilvl w:val="0"/>
          <w:numId w:val="0"/>
        </w:numPr>
        <w:spacing w:before="240" w:after="0" w:line="276" w:lineRule="auto"/>
        <w:outlineLvl w:val="2"/>
        <w:rPr>
          <w:rFonts w:ascii="Arial" w:hAnsi="Arial" w:cs="Arial"/>
          <w:color w:val="auto"/>
          <w:sz w:val="20"/>
          <w:szCs w:val="20"/>
          <w:lang w:val="en-GB"/>
        </w:rPr>
      </w:pPr>
      <w:bookmarkStart w:id="61" w:name="_Toc137558531"/>
      <w:r w:rsidRPr="00065189">
        <w:rPr>
          <w:rFonts w:ascii="Arial" w:hAnsi="Arial" w:cs="Arial"/>
          <w:color w:val="auto"/>
          <w:sz w:val="20"/>
          <w:szCs w:val="20"/>
          <w:lang w:val="en-GB"/>
        </w:rPr>
        <w:t>Digitali</w:t>
      </w:r>
      <w:r w:rsidR="00A0561C" w:rsidRPr="00065189">
        <w:rPr>
          <w:rFonts w:ascii="Arial" w:hAnsi="Arial" w:cs="Arial"/>
          <w:color w:val="auto"/>
          <w:sz w:val="20"/>
          <w:szCs w:val="20"/>
          <w:lang w:val="en-GB"/>
        </w:rPr>
        <w:t>sation</w:t>
      </w:r>
      <w:r w:rsidRPr="00065189">
        <w:rPr>
          <w:rFonts w:ascii="Arial" w:hAnsi="Arial" w:cs="Arial"/>
          <w:color w:val="auto"/>
          <w:sz w:val="20"/>
          <w:szCs w:val="20"/>
          <w:lang w:val="en-GB"/>
        </w:rPr>
        <w:t xml:space="preserve"> (</w:t>
      </w:r>
      <w:r w:rsidR="00C73141" w:rsidRPr="00065189">
        <w:rPr>
          <w:rFonts w:ascii="Arial" w:hAnsi="Arial" w:cs="Arial"/>
          <w:color w:val="auto"/>
          <w:sz w:val="20"/>
          <w:szCs w:val="20"/>
          <w:lang w:val="en-GB"/>
        </w:rPr>
        <w:t>d</w:t>
      </w:r>
      <w:r w:rsidRPr="00065189">
        <w:rPr>
          <w:rFonts w:ascii="Arial" w:hAnsi="Arial" w:cs="Arial"/>
          <w:color w:val="auto"/>
          <w:sz w:val="20"/>
          <w:szCs w:val="20"/>
          <w:lang w:val="en-GB"/>
        </w:rPr>
        <w:t>igital</w:t>
      </w:r>
      <w:r w:rsidR="007D7DA2" w:rsidRPr="00065189">
        <w:rPr>
          <w:rFonts w:ascii="Arial" w:hAnsi="Arial" w:cs="Arial"/>
          <w:color w:val="auto"/>
          <w:sz w:val="20"/>
          <w:szCs w:val="20"/>
          <w:lang w:val="en-GB"/>
        </w:rPr>
        <w:t xml:space="preserve"> </w:t>
      </w:r>
      <w:r w:rsidR="00C73141" w:rsidRPr="00065189">
        <w:rPr>
          <w:rFonts w:ascii="Arial" w:hAnsi="Arial" w:cs="Arial"/>
          <w:color w:val="auto"/>
          <w:sz w:val="20"/>
          <w:szCs w:val="20"/>
          <w:lang w:val="en-GB"/>
        </w:rPr>
        <w:t>t</w:t>
      </w:r>
      <w:r w:rsidRPr="00065189">
        <w:rPr>
          <w:rFonts w:ascii="Arial" w:hAnsi="Arial" w:cs="Arial"/>
          <w:color w:val="auto"/>
          <w:sz w:val="20"/>
          <w:szCs w:val="20"/>
          <w:lang w:val="en-GB"/>
        </w:rPr>
        <w:t>ran</w:t>
      </w:r>
      <w:r w:rsidR="007D7DA2" w:rsidRPr="00065189">
        <w:rPr>
          <w:rFonts w:ascii="Arial" w:hAnsi="Arial" w:cs="Arial"/>
          <w:color w:val="auto"/>
          <w:sz w:val="20"/>
          <w:szCs w:val="20"/>
          <w:lang w:val="en-GB"/>
        </w:rPr>
        <w:t>sition</w:t>
      </w:r>
      <w:r w:rsidRPr="00065189">
        <w:rPr>
          <w:rFonts w:ascii="Arial" w:hAnsi="Arial" w:cs="Arial"/>
          <w:color w:val="auto"/>
          <w:sz w:val="20"/>
          <w:szCs w:val="20"/>
          <w:lang w:val="en-GB"/>
        </w:rPr>
        <w:t>)</w:t>
      </w:r>
      <w:bookmarkEnd w:id="61"/>
    </w:p>
    <w:p w14:paraId="3CCAEEE1" w14:textId="46A6C9E2" w:rsidR="005E20B4" w:rsidRPr="00065189" w:rsidRDefault="00E137B0" w:rsidP="00E137B0">
      <w:pPr>
        <w:spacing w:line="276" w:lineRule="auto"/>
        <w:jc w:val="both"/>
        <w:rPr>
          <w:lang w:val="en-GB"/>
        </w:rPr>
      </w:pPr>
      <w:bookmarkStart w:id="62" w:name="_Hlk72075750"/>
      <w:bookmarkEnd w:id="57"/>
      <w:bookmarkEnd w:id="58"/>
      <w:r w:rsidRPr="00065189">
        <w:rPr>
          <w:lang w:val="en-GB"/>
        </w:rPr>
        <w:t>Development and/or introduction of digital technologies (for example, digitalisation of production,</w:t>
      </w:r>
      <w:r w:rsidR="007E107F" w:rsidRPr="00065189">
        <w:rPr>
          <w:lang w:val="en-GB"/>
        </w:rPr>
        <w:t xml:space="preserve"> </w:t>
      </w:r>
      <w:r w:rsidRPr="00065189">
        <w:rPr>
          <w:lang w:val="en-GB"/>
        </w:rPr>
        <w:t>procurement and sales) in certain areas of business and their full integration and education of</w:t>
      </w:r>
      <w:r w:rsidR="007E107F" w:rsidRPr="00065189">
        <w:rPr>
          <w:lang w:val="en-GB"/>
        </w:rPr>
        <w:t xml:space="preserve"> </w:t>
      </w:r>
      <w:r w:rsidRPr="00065189">
        <w:rPr>
          <w:lang w:val="en-GB"/>
        </w:rPr>
        <w:t>employees and users including the following investments</w:t>
      </w:r>
      <w:r w:rsidR="005E20B4" w:rsidRPr="00065189">
        <w:rPr>
          <w:lang w:val="en-GB"/>
        </w:rPr>
        <w:t>:</w:t>
      </w:r>
    </w:p>
    <w:p w14:paraId="67DA0BB4" w14:textId="77777777" w:rsidR="00EE0F2F" w:rsidRPr="00065189" w:rsidRDefault="005E20B4" w:rsidP="00EE0F2F">
      <w:pPr>
        <w:pStyle w:val="ListParagraph"/>
        <w:numPr>
          <w:ilvl w:val="0"/>
          <w:numId w:val="8"/>
        </w:numPr>
        <w:spacing w:line="276" w:lineRule="auto"/>
        <w:jc w:val="both"/>
        <w:rPr>
          <w:lang w:val="en-GB"/>
        </w:rPr>
      </w:pPr>
      <w:r w:rsidRPr="00065189">
        <w:rPr>
          <w:lang w:val="en-GB"/>
        </w:rPr>
        <w:t>D</w:t>
      </w:r>
      <w:r w:rsidR="00D03C5C" w:rsidRPr="00065189">
        <w:rPr>
          <w:lang w:val="en-GB"/>
        </w:rPr>
        <w:t>igital infrastructure;</w:t>
      </w:r>
    </w:p>
    <w:p w14:paraId="25ED3FD0" w14:textId="77777777" w:rsidR="00EE0F2F" w:rsidRPr="00065189" w:rsidRDefault="00D03C5C" w:rsidP="00EE0F2F">
      <w:pPr>
        <w:pStyle w:val="ListParagraph"/>
        <w:numPr>
          <w:ilvl w:val="0"/>
          <w:numId w:val="8"/>
        </w:numPr>
        <w:spacing w:line="276" w:lineRule="auto"/>
        <w:jc w:val="both"/>
        <w:rPr>
          <w:lang w:val="en-GB"/>
        </w:rPr>
      </w:pPr>
      <w:r w:rsidRPr="00065189">
        <w:rPr>
          <w:lang w:val="en-GB"/>
        </w:rPr>
        <w:t>Digital transformation of companies, research in the field of digital technologies;</w:t>
      </w:r>
    </w:p>
    <w:p w14:paraId="3B1FF14E" w14:textId="61A5B8A9" w:rsidR="00DD69E6" w:rsidRPr="00065189" w:rsidRDefault="00D03C5C" w:rsidP="00DD69E6">
      <w:pPr>
        <w:pStyle w:val="ListParagraph"/>
        <w:numPr>
          <w:ilvl w:val="0"/>
          <w:numId w:val="8"/>
        </w:numPr>
        <w:spacing w:line="276" w:lineRule="auto"/>
        <w:jc w:val="both"/>
        <w:rPr>
          <w:lang w:val="en-GB"/>
        </w:rPr>
      </w:pPr>
      <w:r w:rsidRPr="00065189">
        <w:rPr>
          <w:lang w:val="en-GB"/>
        </w:rPr>
        <w:t>ICT (investments in information and communication technologies), digital marketing,</w:t>
      </w:r>
      <w:r w:rsidR="00EE0F2F" w:rsidRPr="00065189">
        <w:rPr>
          <w:lang w:val="en-GB"/>
        </w:rPr>
        <w:t xml:space="preserve"> </w:t>
      </w:r>
      <w:r w:rsidRPr="00065189">
        <w:rPr>
          <w:lang w:val="en-GB"/>
        </w:rPr>
        <w:t>digitalisation and automation of business processes, digital procurement, digitalisation of sales</w:t>
      </w:r>
      <w:r w:rsidR="00614CF1" w:rsidRPr="00065189">
        <w:rPr>
          <w:lang w:val="en-GB"/>
        </w:rPr>
        <w:t xml:space="preserve"> </w:t>
      </w:r>
      <w:r w:rsidRPr="00065189">
        <w:rPr>
          <w:lang w:val="en-GB"/>
        </w:rPr>
        <w:t>representatives, changes in all forms of businesses and processes in which employees of the</w:t>
      </w:r>
      <w:r w:rsidR="00614CF1" w:rsidRPr="00065189">
        <w:rPr>
          <w:lang w:val="en-GB"/>
        </w:rPr>
        <w:t xml:space="preserve"> </w:t>
      </w:r>
      <w:r w:rsidRPr="00065189">
        <w:rPr>
          <w:lang w:val="en-GB"/>
        </w:rPr>
        <w:t xml:space="preserve">organisation interact with </w:t>
      </w:r>
      <w:r w:rsidR="00FE36A0" w:rsidRPr="00065189">
        <w:rPr>
          <w:lang w:val="en-GB"/>
        </w:rPr>
        <w:t xml:space="preserve">its </w:t>
      </w:r>
      <w:r w:rsidRPr="00065189">
        <w:rPr>
          <w:lang w:val="en-GB"/>
        </w:rPr>
        <w:t>customers</w:t>
      </w:r>
      <w:r w:rsidR="00041111" w:rsidRPr="00065189">
        <w:rPr>
          <w:lang w:val="en-GB"/>
        </w:rPr>
        <w:t>,</w:t>
      </w:r>
      <w:r w:rsidRPr="00065189">
        <w:rPr>
          <w:lang w:val="en-GB"/>
        </w:rPr>
        <w:t xml:space="preserve"> and similar;</w:t>
      </w:r>
    </w:p>
    <w:p w14:paraId="77C926B0" w14:textId="73D796D8" w:rsidR="005E20B4" w:rsidRPr="00065189" w:rsidRDefault="00D03C5C" w:rsidP="00957EA2">
      <w:pPr>
        <w:pStyle w:val="ListParagraph"/>
        <w:numPr>
          <w:ilvl w:val="0"/>
          <w:numId w:val="8"/>
        </w:numPr>
        <w:spacing w:line="276" w:lineRule="auto"/>
        <w:jc w:val="both"/>
        <w:rPr>
          <w:lang w:val="en-GB"/>
        </w:rPr>
      </w:pPr>
      <w:r w:rsidRPr="00065189">
        <w:rPr>
          <w:lang w:val="en-GB"/>
        </w:rPr>
        <w:t>Industry 4.0 - production processes based on the latest technology and covered by devices for</w:t>
      </w:r>
      <w:r w:rsidR="00DD69E6" w:rsidRPr="00065189">
        <w:rPr>
          <w:lang w:val="en-GB"/>
        </w:rPr>
        <w:t xml:space="preserve"> </w:t>
      </w:r>
      <w:r w:rsidRPr="00065189">
        <w:rPr>
          <w:lang w:val="en-GB"/>
        </w:rPr>
        <w:t>mutual autonomous communication; machines controlled by artificial intelligence that can</w:t>
      </w:r>
      <w:r w:rsidR="00003F32" w:rsidRPr="00065189">
        <w:rPr>
          <w:lang w:val="en-GB"/>
        </w:rPr>
        <w:t xml:space="preserve"> </w:t>
      </w:r>
      <w:r w:rsidRPr="00065189">
        <w:rPr>
          <w:lang w:val="en-GB"/>
        </w:rPr>
        <w:t>independently exchange information; application of smart factory models in which robotic</w:t>
      </w:r>
      <w:r w:rsidR="00003F32" w:rsidRPr="00065189">
        <w:rPr>
          <w:lang w:val="en-GB"/>
        </w:rPr>
        <w:t xml:space="preserve"> </w:t>
      </w:r>
      <w:r w:rsidRPr="00065189">
        <w:rPr>
          <w:lang w:val="en-GB"/>
        </w:rPr>
        <w:t>machines control and monitor physical processes; production system that can independently</w:t>
      </w:r>
      <w:r w:rsidR="00003F32" w:rsidRPr="00065189">
        <w:rPr>
          <w:lang w:val="en-GB"/>
        </w:rPr>
        <w:t xml:space="preserve"> </w:t>
      </w:r>
      <w:r w:rsidRPr="00065189">
        <w:rPr>
          <w:lang w:val="en-GB"/>
        </w:rPr>
        <w:t>exchange information during the production process and knows at any time at what stage the</w:t>
      </w:r>
      <w:r w:rsidR="00003F32" w:rsidRPr="00065189">
        <w:rPr>
          <w:lang w:val="en-GB"/>
        </w:rPr>
        <w:t xml:space="preserve"> </w:t>
      </w:r>
      <w:r w:rsidRPr="00065189">
        <w:rPr>
          <w:lang w:val="en-GB"/>
        </w:rPr>
        <w:t>output product is</w:t>
      </w:r>
      <w:r w:rsidR="005E20B4" w:rsidRPr="00065189">
        <w:rPr>
          <w:rFonts w:eastAsia="Times New Roman"/>
          <w:lang w:val="en-GB"/>
        </w:rPr>
        <w:t>.</w:t>
      </w:r>
    </w:p>
    <w:p w14:paraId="7F338703" w14:textId="66253CCF" w:rsidR="006D7174" w:rsidRPr="00065189" w:rsidRDefault="007D7DA2" w:rsidP="008E347B">
      <w:pPr>
        <w:pStyle w:val="HeadingA"/>
        <w:numPr>
          <w:ilvl w:val="0"/>
          <w:numId w:val="0"/>
        </w:numPr>
        <w:spacing w:before="240" w:after="0" w:line="276" w:lineRule="auto"/>
        <w:outlineLvl w:val="2"/>
        <w:rPr>
          <w:rFonts w:ascii="Arial" w:hAnsi="Arial" w:cs="Arial"/>
          <w:color w:val="auto"/>
          <w:sz w:val="20"/>
          <w:szCs w:val="20"/>
          <w:lang w:val="en-GB"/>
        </w:rPr>
      </w:pPr>
      <w:bookmarkStart w:id="63" w:name="_Toc137558532"/>
      <w:r w:rsidRPr="00065189">
        <w:rPr>
          <w:rFonts w:ascii="Arial" w:hAnsi="Arial" w:cs="Arial"/>
          <w:color w:val="auto"/>
          <w:sz w:val="20"/>
          <w:szCs w:val="20"/>
          <w:lang w:val="en-GB"/>
        </w:rPr>
        <w:t xml:space="preserve">Research, </w:t>
      </w:r>
      <w:r w:rsidR="00C73141" w:rsidRPr="00065189">
        <w:rPr>
          <w:rFonts w:ascii="Arial" w:hAnsi="Arial" w:cs="Arial"/>
          <w:color w:val="auto"/>
          <w:sz w:val="20"/>
          <w:szCs w:val="20"/>
          <w:lang w:val="en-GB"/>
        </w:rPr>
        <w:t>d</w:t>
      </w:r>
      <w:r w:rsidRPr="00065189">
        <w:rPr>
          <w:rFonts w:ascii="Arial" w:hAnsi="Arial" w:cs="Arial"/>
          <w:color w:val="auto"/>
          <w:sz w:val="20"/>
          <w:szCs w:val="20"/>
          <w:lang w:val="en-GB"/>
        </w:rPr>
        <w:t xml:space="preserve">evelopment and </w:t>
      </w:r>
      <w:r w:rsidR="00C73141" w:rsidRPr="00065189">
        <w:rPr>
          <w:rFonts w:ascii="Arial" w:hAnsi="Arial" w:cs="Arial"/>
          <w:color w:val="auto"/>
          <w:sz w:val="20"/>
          <w:szCs w:val="20"/>
          <w:lang w:val="en-GB"/>
        </w:rPr>
        <w:t>i</w:t>
      </w:r>
      <w:r w:rsidRPr="00065189">
        <w:rPr>
          <w:rFonts w:ascii="Arial" w:hAnsi="Arial" w:cs="Arial"/>
          <w:color w:val="auto"/>
          <w:sz w:val="20"/>
          <w:szCs w:val="20"/>
          <w:lang w:val="en-GB"/>
        </w:rPr>
        <w:t xml:space="preserve">nnovation </w:t>
      </w:r>
      <w:r w:rsidR="0094020A" w:rsidRPr="00065189">
        <w:rPr>
          <w:rFonts w:ascii="Arial" w:hAnsi="Arial" w:cs="Arial"/>
          <w:color w:val="auto"/>
          <w:sz w:val="20"/>
          <w:szCs w:val="20"/>
          <w:lang w:val="en-GB"/>
        </w:rPr>
        <w:t>- RDI</w:t>
      </w:r>
      <w:r w:rsidR="0094020A" w:rsidRPr="00065189">
        <w:rPr>
          <w:rFonts w:ascii="Arial" w:hAnsi="Arial" w:cs="Arial"/>
          <w:color w:val="auto"/>
          <w:sz w:val="20"/>
          <w:szCs w:val="20"/>
          <w:vertAlign w:val="superscript"/>
          <w:lang w:val="en-GB"/>
        </w:rPr>
        <w:footnoteReference w:id="2"/>
      </w:r>
      <w:bookmarkEnd w:id="63"/>
    </w:p>
    <w:bookmarkEnd w:id="62"/>
    <w:p w14:paraId="669AD799" w14:textId="744DDBAF" w:rsidR="009F62F3" w:rsidRPr="00065189" w:rsidRDefault="00AE66B1" w:rsidP="00D03C5C">
      <w:pPr>
        <w:spacing w:line="276" w:lineRule="auto"/>
        <w:jc w:val="both"/>
        <w:rPr>
          <w:rFonts w:eastAsia="Times New Roman" w:cs="Arial"/>
          <w:szCs w:val="20"/>
          <w:lang w:val="en-GB" w:eastAsia="hr-HR"/>
        </w:rPr>
      </w:pPr>
      <w:r w:rsidRPr="00065189">
        <w:rPr>
          <w:rFonts w:eastAsia="Times New Roman" w:cs="Arial"/>
          <w:szCs w:val="20"/>
          <w:lang w:val="en-GB" w:eastAsia="hr-HR"/>
        </w:rPr>
        <w:t>P</w:t>
      </w:r>
      <w:r w:rsidR="00D03C5C" w:rsidRPr="00065189">
        <w:rPr>
          <w:rFonts w:eastAsia="Times New Roman" w:cs="Arial"/>
          <w:szCs w:val="20"/>
          <w:lang w:val="en-GB" w:eastAsia="hr-HR"/>
        </w:rPr>
        <w:t>rojects based on research, development and innovation or investment in research, development and</w:t>
      </w:r>
      <w:r w:rsidR="004F33CD" w:rsidRPr="00065189">
        <w:rPr>
          <w:rFonts w:eastAsia="Times New Roman" w:cs="Arial"/>
          <w:szCs w:val="20"/>
          <w:lang w:val="en-GB" w:eastAsia="hr-HR"/>
        </w:rPr>
        <w:t xml:space="preserve"> </w:t>
      </w:r>
      <w:r w:rsidR="00D03C5C" w:rsidRPr="00065189">
        <w:rPr>
          <w:rFonts w:eastAsia="Times New Roman" w:cs="Arial"/>
          <w:szCs w:val="20"/>
          <w:lang w:val="en-GB" w:eastAsia="hr-HR"/>
        </w:rPr>
        <w:t>innovation in the field of products, processes, business organisation and marketing (customer relations)</w:t>
      </w:r>
      <w:r w:rsidR="00E24F6D" w:rsidRPr="00065189">
        <w:rPr>
          <w:rFonts w:eastAsia="Times New Roman" w:cs="Arial"/>
          <w:szCs w:val="20"/>
          <w:lang w:val="en-GB" w:eastAsia="hr-HR"/>
        </w:rPr>
        <w:t xml:space="preserve"> </w:t>
      </w:r>
      <w:r w:rsidR="00D03C5C" w:rsidRPr="00065189">
        <w:rPr>
          <w:rFonts w:eastAsia="Times New Roman" w:cs="Arial"/>
          <w:szCs w:val="20"/>
          <w:lang w:val="en-GB" w:eastAsia="hr-HR"/>
        </w:rPr>
        <w:t>in a company. They include projects based on industrial and experimental research;</w:t>
      </w:r>
      <w:r w:rsidR="00E24F6D" w:rsidRPr="00065189">
        <w:rPr>
          <w:rFonts w:eastAsia="Times New Roman" w:cs="Arial"/>
          <w:szCs w:val="20"/>
          <w:lang w:val="en-GB" w:eastAsia="hr-HR"/>
        </w:rPr>
        <w:t xml:space="preserve"> </w:t>
      </w:r>
      <w:r w:rsidR="00D03C5C" w:rsidRPr="00065189">
        <w:rPr>
          <w:rFonts w:eastAsia="Times New Roman" w:cs="Arial"/>
          <w:szCs w:val="20"/>
          <w:lang w:val="en-GB" w:eastAsia="hr-HR"/>
        </w:rPr>
        <w:t>products/services/processes and methodologies protected by intellectual property regulations but also</w:t>
      </w:r>
      <w:r w:rsidR="00E24F6D" w:rsidRPr="00065189">
        <w:rPr>
          <w:rFonts w:eastAsia="Times New Roman" w:cs="Arial"/>
          <w:szCs w:val="20"/>
          <w:lang w:val="en-GB" w:eastAsia="hr-HR"/>
        </w:rPr>
        <w:t xml:space="preserve"> </w:t>
      </w:r>
      <w:r w:rsidR="00D03C5C" w:rsidRPr="00065189">
        <w:rPr>
          <w:rFonts w:eastAsia="Times New Roman" w:cs="Arial"/>
          <w:szCs w:val="20"/>
          <w:lang w:val="en-GB" w:eastAsia="hr-HR"/>
        </w:rPr>
        <w:t>other projects based on the application of a new or substantially modified product (goods or services),</w:t>
      </w:r>
      <w:r w:rsidR="000E0FBC" w:rsidRPr="00065189">
        <w:rPr>
          <w:rFonts w:eastAsia="Times New Roman" w:cs="Arial"/>
          <w:szCs w:val="20"/>
          <w:lang w:val="en-GB" w:eastAsia="hr-HR"/>
        </w:rPr>
        <w:t xml:space="preserve"> </w:t>
      </w:r>
      <w:r w:rsidR="00D03C5C" w:rsidRPr="00065189">
        <w:rPr>
          <w:rFonts w:eastAsia="Times New Roman" w:cs="Arial"/>
          <w:szCs w:val="20"/>
          <w:lang w:val="en-GB" w:eastAsia="hr-HR"/>
        </w:rPr>
        <w:t>processes, new organisational methods, business practices or new marketing methods and their</w:t>
      </w:r>
      <w:r w:rsidR="000E0FBC" w:rsidRPr="00065189">
        <w:rPr>
          <w:rFonts w:eastAsia="Times New Roman" w:cs="Arial"/>
          <w:szCs w:val="20"/>
          <w:lang w:val="en-GB" w:eastAsia="hr-HR"/>
        </w:rPr>
        <w:t xml:space="preserve"> </w:t>
      </w:r>
      <w:r w:rsidR="00D03C5C" w:rsidRPr="00065189">
        <w:rPr>
          <w:rFonts w:eastAsia="Times New Roman" w:cs="Arial"/>
          <w:szCs w:val="20"/>
          <w:lang w:val="en-GB" w:eastAsia="hr-HR"/>
        </w:rPr>
        <w:t>introduction into practical use, that is, the commercialisation or expansion of existing production/service</w:t>
      </w:r>
      <w:r w:rsidR="000E0FBC" w:rsidRPr="00065189">
        <w:rPr>
          <w:rFonts w:eastAsia="Times New Roman" w:cs="Arial"/>
          <w:szCs w:val="20"/>
          <w:lang w:val="en-GB" w:eastAsia="hr-HR"/>
        </w:rPr>
        <w:t xml:space="preserve"> </w:t>
      </w:r>
      <w:r w:rsidR="00D03C5C" w:rsidRPr="00065189">
        <w:rPr>
          <w:rFonts w:eastAsia="Times New Roman" w:cs="Arial"/>
          <w:szCs w:val="20"/>
          <w:lang w:val="en-GB" w:eastAsia="hr-HR"/>
        </w:rPr>
        <w:t>capacities for RDI-based operations</w:t>
      </w:r>
      <w:r w:rsidRPr="00065189">
        <w:rPr>
          <w:rFonts w:eastAsia="Times New Roman" w:cs="Arial"/>
          <w:szCs w:val="20"/>
          <w:lang w:val="en-GB" w:eastAsia="hr-HR"/>
        </w:rPr>
        <w:t>.</w:t>
      </w:r>
    </w:p>
    <w:p w14:paraId="13676B22" w14:textId="000923E5" w:rsidR="005A63E6" w:rsidRPr="00065189" w:rsidRDefault="00215082" w:rsidP="005A63E6">
      <w:pPr>
        <w:spacing w:line="276" w:lineRule="auto"/>
        <w:jc w:val="both"/>
        <w:rPr>
          <w:rFonts w:eastAsia="Times New Roman" w:cs="Arial"/>
          <w:szCs w:val="20"/>
          <w:lang w:val="en-GB" w:eastAsia="hr-HR"/>
        </w:rPr>
      </w:pPr>
      <w:r w:rsidRPr="00065189">
        <w:rPr>
          <w:rFonts w:eastAsia="Times New Roman" w:cs="Arial"/>
          <w:szCs w:val="20"/>
          <w:lang w:val="en-GB" w:eastAsia="hr-HR"/>
        </w:rPr>
        <w:t xml:space="preserve">Investments in all activities can be included in the area of ​​investment in research, development and innovation if they have the specified characteristics and if they are not excluded by these </w:t>
      </w:r>
      <w:r w:rsidR="00FA5909" w:rsidRPr="00065189">
        <w:rPr>
          <w:rFonts w:eastAsia="Times New Roman" w:cs="Arial"/>
          <w:szCs w:val="20"/>
          <w:lang w:val="en-GB" w:eastAsia="hr-HR"/>
        </w:rPr>
        <w:t>G</w:t>
      </w:r>
      <w:r w:rsidRPr="00065189">
        <w:rPr>
          <w:rFonts w:eastAsia="Times New Roman" w:cs="Arial"/>
          <w:szCs w:val="20"/>
          <w:lang w:val="en-GB" w:eastAsia="hr-HR"/>
        </w:rPr>
        <w:t xml:space="preserve">eneral </w:t>
      </w:r>
      <w:r w:rsidR="00FA5909" w:rsidRPr="00065189">
        <w:rPr>
          <w:rFonts w:eastAsia="Times New Roman" w:cs="Arial"/>
          <w:szCs w:val="20"/>
          <w:lang w:val="en-GB" w:eastAsia="hr-HR"/>
        </w:rPr>
        <w:t>E</w:t>
      </w:r>
      <w:r w:rsidRPr="00065189">
        <w:rPr>
          <w:rFonts w:eastAsia="Times New Roman" w:cs="Arial"/>
          <w:szCs w:val="20"/>
          <w:lang w:val="en-GB" w:eastAsia="hr-HR"/>
        </w:rPr>
        <w:t xml:space="preserve">ligibility </w:t>
      </w:r>
      <w:r w:rsidR="00FA5909" w:rsidRPr="00065189">
        <w:rPr>
          <w:rFonts w:eastAsia="Times New Roman" w:cs="Arial"/>
          <w:szCs w:val="20"/>
          <w:lang w:val="en-GB" w:eastAsia="hr-HR"/>
        </w:rPr>
        <w:t>C</w:t>
      </w:r>
      <w:r w:rsidRPr="00065189">
        <w:rPr>
          <w:rFonts w:eastAsia="Times New Roman" w:cs="Arial"/>
          <w:szCs w:val="20"/>
          <w:lang w:val="en-GB" w:eastAsia="hr-HR"/>
        </w:rPr>
        <w:t>riteria</w:t>
      </w:r>
      <w:r w:rsidR="005A63E6" w:rsidRPr="00065189">
        <w:rPr>
          <w:rFonts w:eastAsia="Times New Roman" w:cs="Arial"/>
          <w:szCs w:val="20"/>
          <w:lang w:val="en-GB" w:eastAsia="hr-HR"/>
        </w:rPr>
        <w:t xml:space="preserve">. </w:t>
      </w:r>
    </w:p>
    <w:p w14:paraId="279968A4" w14:textId="7D5237DE" w:rsidR="00A00204" w:rsidRPr="00065189" w:rsidRDefault="00FA5909" w:rsidP="00A00204">
      <w:pPr>
        <w:pStyle w:val="HeadingA"/>
        <w:numPr>
          <w:ilvl w:val="0"/>
          <w:numId w:val="0"/>
        </w:numPr>
        <w:spacing w:before="240" w:after="0" w:line="276" w:lineRule="auto"/>
        <w:outlineLvl w:val="2"/>
        <w:rPr>
          <w:rFonts w:ascii="Arial" w:hAnsi="Arial" w:cs="Arial"/>
          <w:color w:val="auto"/>
          <w:sz w:val="20"/>
          <w:szCs w:val="20"/>
          <w:lang w:val="en-GB"/>
        </w:rPr>
      </w:pPr>
      <w:bookmarkStart w:id="64" w:name="_Toc137558533"/>
      <w:r w:rsidRPr="00065189">
        <w:rPr>
          <w:rFonts w:ascii="Arial" w:hAnsi="Arial" w:cs="Arial"/>
          <w:color w:val="auto"/>
          <w:sz w:val="20"/>
          <w:szCs w:val="20"/>
          <w:lang w:val="en-GB"/>
        </w:rPr>
        <w:lastRenderedPageBreak/>
        <w:t xml:space="preserve">Investments aimed at rehabilitation from the consequences of </w:t>
      </w:r>
      <w:r w:rsidR="00503D8E" w:rsidRPr="00065189">
        <w:rPr>
          <w:rFonts w:ascii="Arial" w:hAnsi="Arial" w:cs="Arial"/>
          <w:color w:val="auto"/>
          <w:sz w:val="20"/>
          <w:szCs w:val="20"/>
          <w:lang w:val="en-GB"/>
        </w:rPr>
        <w:t>earthquakes</w:t>
      </w:r>
      <w:bookmarkEnd w:id="64"/>
    </w:p>
    <w:p w14:paraId="435024EF" w14:textId="39098F14" w:rsidR="001434F8" w:rsidRPr="00065189" w:rsidRDefault="00F629CE" w:rsidP="00A00204">
      <w:pPr>
        <w:pStyle w:val="ListParagraph"/>
        <w:spacing w:line="276" w:lineRule="auto"/>
        <w:ind w:left="0"/>
        <w:jc w:val="both"/>
        <w:rPr>
          <w:rFonts w:cs="Arial"/>
          <w:szCs w:val="20"/>
          <w:lang w:val="en-GB"/>
        </w:rPr>
      </w:pPr>
      <w:r w:rsidRPr="00065189">
        <w:rPr>
          <w:rFonts w:cs="Arial"/>
          <w:szCs w:val="20"/>
          <w:lang w:val="en-GB"/>
        </w:rPr>
        <w:t>Investments aimed at rehabilitation, elimination and/or reduction of the consequences of earthquakes</w:t>
      </w:r>
      <w:r w:rsidR="002E1395" w:rsidRPr="00065189">
        <w:rPr>
          <w:rFonts w:cs="Arial"/>
          <w:szCs w:val="20"/>
          <w:lang w:val="en-GB"/>
        </w:rPr>
        <w:t>.</w:t>
      </w:r>
    </w:p>
    <w:p w14:paraId="6597CBAF" w14:textId="4DDE8AE6" w:rsidR="006D7174" w:rsidRPr="00065189" w:rsidRDefault="006D7174" w:rsidP="00655642">
      <w:pPr>
        <w:pStyle w:val="HeadingA"/>
        <w:numPr>
          <w:ilvl w:val="0"/>
          <w:numId w:val="0"/>
        </w:numPr>
        <w:spacing w:before="240" w:after="0" w:line="276" w:lineRule="auto"/>
        <w:outlineLvl w:val="2"/>
        <w:rPr>
          <w:rFonts w:ascii="Arial" w:hAnsi="Arial" w:cs="Arial"/>
          <w:color w:val="auto"/>
          <w:sz w:val="20"/>
          <w:szCs w:val="20"/>
          <w:lang w:val="en-GB"/>
        </w:rPr>
      </w:pPr>
      <w:bookmarkStart w:id="65" w:name="_Toc137558534"/>
      <w:r w:rsidRPr="00065189">
        <w:rPr>
          <w:rFonts w:ascii="Arial" w:hAnsi="Arial" w:cs="Arial"/>
          <w:color w:val="auto"/>
          <w:sz w:val="20"/>
          <w:szCs w:val="20"/>
          <w:lang w:val="en-GB"/>
        </w:rPr>
        <w:t>S</w:t>
      </w:r>
      <w:r w:rsidR="00B3541D" w:rsidRPr="00065189">
        <w:rPr>
          <w:rFonts w:ascii="Arial" w:hAnsi="Arial" w:cs="Arial"/>
          <w:color w:val="auto"/>
          <w:sz w:val="20"/>
          <w:szCs w:val="20"/>
          <w:lang w:val="en-GB"/>
        </w:rPr>
        <w:t>ocial infrastructure and/or investments aimed at reducing negative demographic trends</w:t>
      </w:r>
      <w:bookmarkEnd w:id="65"/>
    </w:p>
    <w:p w14:paraId="12200C2F" w14:textId="4E61BBEF" w:rsidR="005A63E6" w:rsidRPr="00065189" w:rsidRDefault="005A63E6" w:rsidP="003C78D2">
      <w:pPr>
        <w:shd w:val="clear" w:color="auto" w:fill="FFFFFF"/>
        <w:spacing w:line="276" w:lineRule="auto"/>
        <w:jc w:val="both"/>
        <w:rPr>
          <w:rFonts w:eastAsia="Times New Roman" w:cs="Arial"/>
          <w:szCs w:val="20"/>
          <w:lang w:val="en-GB"/>
        </w:rPr>
      </w:pPr>
      <w:r w:rsidRPr="00065189">
        <w:rPr>
          <w:rFonts w:eastAsia="Times New Roman" w:cs="Arial"/>
          <w:szCs w:val="20"/>
          <w:lang w:val="en-GB"/>
        </w:rPr>
        <w:t>P</w:t>
      </w:r>
      <w:r w:rsidR="003C78D2" w:rsidRPr="00065189">
        <w:rPr>
          <w:rFonts w:eastAsia="Times New Roman" w:cs="Arial"/>
          <w:szCs w:val="20"/>
          <w:lang w:val="en-GB"/>
        </w:rPr>
        <w:t>rojects of local government units or of companies that are majority owned by them or majority owned by the</w:t>
      </w:r>
      <w:r w:rsidR="00CB4040" w:rsidRPr="00065189">
        <w:rPr>
          <w:rFonts w:eastAsia="Times New Roman" w:cs="Arial"/>
          <w:szCs w:val="20"/>
          <w:lang w:val="en-GB"/>
        </w:rPr>
        <w:t xml:space="preserve"> </w:t>
      </w:r>
      <w:r w:rsidR="003C78D2" w:rsidRPr="00065189">
        <w:rPr>
          <w:rFonts w:eastAsia="Times New Roman" w:cs="Arial"/>
          <w:szCs w:val="20"/>
          <w:lang w:val="en-GB"/>
        </w:rPr>
        <w:t>Republic of Croatia and projects of other applicants aimed at improving social, educational, health, communal</w:t>
      </w:r>
      <w:r w:rsidR="00F14F48" w:rsidRPr="00065189">
        <w:rPr>
          <w:rFonts w:eastAsia="Times New Roman" w:cs="Arial"/>
          <w:szCs w:val="20"/>
          <w:lang w:val="en-GB"/>
        </w:rPr>
        <w:t xml:space="preserve"> </w:t>
      </w:r>
      <w:r w:rsidR="003C78D2" w:rsidRPr="00065189">
        <w:rPr>
          <w:rFonts w:eastAsia="Times New Roman" w:cs="Arial"/>
          <w:szCs w:val="20"/>
          <w:lang w:val="en-GB"/>
        </w:rPr>
        <w:t>infrastructure and transport connections in urban and rural areas. It is estimated that the implementation of</w:t>
      </w:r>
      <w:r w:rsidR="00117FE7" w:rsidRPr="00065189">
        <w:rPr>
          <w:rFonts w:eastAsia="Times New Roman" w:cs="Arial"/>
          <w:szCs w:val="20"/>
          <w:lang w:val="en-GB"/>
        </w:rPr>
        <w:t xml:space="preserve"> </w:t>
      </w:r>
      <w:r w:rsidR="003C78D2" w:rsidRPr="00065189">
        <w:rPr>
          <w:rFonts w:eastAsia="Times New Roman" w:cs="Arial"/>
          <w:szCs w:val="20"/>
          <w:lang w:val="en-GB"/>
        </w:rPr>
        <w:t>the project contributes to increasing the standards of communal and social services in the local community</w:t>
      </w:r>
      <w:r w:rsidR="000C47FD" w:rsidRPr="00065189">
        <w:rPr>
          <w:rFonts w:eastAsia="Times New Roman" w:cs="Arial"/>
          <w:szCs w:val="20"/>
          <w:lang w:val="en-GB"/>
        </w:rPr>
        <w:t xml:space="preserve"> </w:t>
      </w:r>
      <w:r w:rsidR="003C78D2" w:rsidRPr="00065189">
        <w:rPr>
          <w:rFonts w:eastAsia="Times New Roman" w:cs="Arial"/>
          <w:szCs w:val="20"/>
          <w:lang w:val="en-GB"/>
        </w:rPr>
        <w:t>and/or to reducing the negative demographic trends</w:t>
      </w:r>
      <w:r w:rsidRPr="00065189">
        <w:rPr>
          <w:rFonts w:eastAsia="Times New Roman" w:cs="Arial"/>
          <w:szCs w:val="20"/>
          <w:lang w:val="en-GB"/>
        </w:rPr>
        <w:t>.</w:t>
      </w:r>
    </w:p>
    <w:p w14:paraId="36B2AE77" w14:textId="3EDACC74" w:rsidR="005A63E6" w:rsidRPr="00065189" w:rsidRDefault="00A93FEB" w:rsidP="008B56DB">
      <w:pPr>
        <w:shd w:val="clear" w:color="auto" w:fill="FFFFFF"/>
        <w:spacing w:line="276" w:lineRule="auto"/>
        <w:jc w:val="both"/>
        <w:rPr>
          <w:rFonts w:eastAsia="Times New Roman" w:cs="Arial"/>
          <w:szCs w:val="20"/>
          <w:lang w:val="en-GB"/>
        </w:rPr>
      </w:pPr>
      <w:r w:rsidRPr="00065189">
        <w:rPr>
          <w:rFonts w:eastAsia="Times New Roman" w:cs="Arial"/>
          <w:szCs w:val="20"/>
          <w:lang w:val="en-GB"/>
        </w:rPr>
        <w:t>Investments in all activities are included in the area of investment in social</w:t>
      </w:r>
      <w:r w:rsidR="006B25DC" w:rsidRPr="00065189">
        <w:rPr>
          <w:rFonts w:eastAsia="Times New Roman" w:cs="Arial"/>
          <w:szCs w:val="20"/>
          <w:lang w:val="en-GB"/>
        </w:rPr>
        <w:t xml:space="preserve"> i</w:t>
      </w:r>
      <w:r w:rsidRPr="00065189">
        <w:rPr>
          <w:rFonts w:eastAsia="Times New Roman" w:cs="Arial"/>
          <w:szCs w:val="20"/>
          <w:lang w:val="en-GB"/>
        </w:rPr>
        <w:t>nfrastructure and/or projects</w:t>
      </w:r>
      <w:r w:rsidR="00933D3B" w:rsidRPr="00065189">
        <w:rPr>
          <w:rFonts w:eastAsia="Times New Roman" w:cs="Arial"/>
          <w:szCs w:val="20"/>
          <w:lang w:val="en-GB"/>
        </w:rPr>
        <w:t xml:space="preserve"> </w:t>
      </w:r>
      <w:r w:rsidRPr="00065189">
        <w:rPr>
          <w:rFonts w:eastAsia="Times New Roman" w:cs="Arial"/>
          <w:szCs w:val="20"/>
          <w:lang w:val="en-GB"/>
        </w:rPr>
        <w:t>aimed at reducing negative demographic trends if they have the stated characteristics and if they are not</w:t>
      </w:r>
      <w:r w:rsidR="0004279C" w:rsidRPr="00065189">
        <w:rPr>
          <w:rFonts w:eastAsia="Times New Roman" w:cs="Arial"/>
          <w:szCs w:val="20"/>
          <w:lang w:val="en-GB"/>
        </w:rPr>
        <w:t xml:space="preserve"> </w:t>
      </w:r>
      <w:r w:rsidRPr="00065189">
        <w:rPr>
          <w:rFonts w:eastAsia="Times New Roman" w:cs="Arial"/>
          <w:szCs w:val="20"/>
          <w:lang w:val="en-GB"/>
        </w:rPr>
        <w:t>excluded by these General Eligibility Criteria. The activities from the following N</w:t>
      </w:r>
      <w:r w:rsidR="008B56DB" w:rsidRPr="00065189">
        <w:rPr>
          <w:rFonts w:eastAsia="Times New Roman" w:cs="Arial"/>
          <w:szCs w:val="20"/>
          <w:lang w:val="en-GB"/>
        </w:rPr>
        <w:t>KD</w:t>
      </w:r>
      <w:r w:rsidRPr="00065189">
        <w:rPr>
          <w:rFonts w:eastAsia="Times New Roman" w:cs="Arial"/>
          <w:szCs w:val="20"/>
          <w:lang w:val="en-GB"/>
        </w:rPr>
        <w:t xml:space="preserve"> sections are automatically</w:t>
      </w:r>
      <w:r w:rsidR="00CE5250" w:rsidRPr="00065189">
        <w:rPr>
          <w:rFonts w:eastAsia="Times New Roman" w:cs="Arial"/>
          <w:szCs w:val="20"/>
          <w:lang w:val="en-GB"/>
        </w:rPr>
        <w:t xml:space="preserve"> </w:t>
      </w:r>
      <w:r w:rsidRPr="00065189">
        <w:rPr>
          <w:rFonts w:eastAsia="Times New Roman" w:cs="Arial"/>
          <w:szCs w:val="20"/>
          <w:lang w:val="en-GB"/>
        </w:rPr>
        <w:t>included if they are not excluded by these General Eligibility Criteria: 85 Education</w:t>
      </w:r>
      <w:r w:rsidR="001A0342" w:rsidRPr="00065189">
        <w:rPr>
          <w:rFonts w:eastAsia="Times New Roman" w:cs="Arial"/>
          <w:szCs w:val="20"/>
          <w:lang w:val="en-GB"/>
        </w:rPr>
        <w:t>;</w:t>
      </w:r>
      <w:r w:rsidRPr="00065189">
        <w:rPr>
          <w:rFonts w:eastAsia="Times New Roman" w:cs="Arial"/>
          <w:szCs w:val="20"/>
          <w:lang w:val="en-GB"/>
        </w:rPr>
        <w:t xml:space="preserve"> 86 Human health</w:t>
      </w:r>
      <w:r w:rsidR="008B56DB" w:rsidRPr="00065189">
        <w:rPr>
          <w:rFonts w:eastAsia="Times New Roman" w:cs="Arial"/>
          <w:szCs w:val="20"/>
          <w:lang w:val="en-GB"/>
        </w:rPr>
        <w:t xml:space="preserve"> </w:t>
      </w:r>
      <w:r w:rsidRPr="00065189">
        <w:rPr>
          <w:rFonts w:eastAsia="Times New Roman" w:cs="Arial"/>
          <w:szCs w:val="20"/>
          <w:lang w:val="en-GB"/>
        </w:rPr>
        <w:t>activities; 87 Residential care activities; 88 Social work activities without accommodation</w:t>
      </w:r>
      <w:r w:rsidR="005A63E6" w:rsidRPr="00065189">
        <w:rPr>
          <w:rFonts w:eastAsia="Times New Roman" w:cs="Arial"/>
          <w:szCs w:val="20"/>
          <w:lang w:val="en-GB"/>
        </w:rPr>
        <w:t>.</w:t>
      </w:r>
    </w:p>
    <w:p w14:paraId="402139BC" w14:textId="15891A5F" w:rsidR="00313D89" w:rsidRPr="00065189" w:rsidRDefault="00480263" w:rsidP="001A4F54">
      <w:pPr>
        <w:pStyle w:val="HeadingA"/>
        <w:numPr>
          <w:ilvl w:val="0"/>
          <w:numId w:val="4"/>
        </w:numPr>
        <w:spacing w:after="240"/>
        <w:outlineLvl w:val="0"/>
        <w:rPr>
          <w:rFonts w:ascii="Arial" w:hAnsi="Arial" w:cs="Arial"/>
          <w:sz w:val="24"/>
          <w:szCs w:val="24"/>
          <w:lang w:val="en-GB"/>
        </w:rPr>
      </w:pPr>
      <w:bookmarkStart w:id="66" w:name="_Toc137558535"/>
      <w:r w:rsidRPr="00065189">
        <w:rPr>
          <w:rFonts w:ascii="Arial" w:hAnsi="Arial" w:cs="Arial"/>
          <w:sz w:val="24"/>
          <w:szCs w:val="24"/>
          <w:lang w:val="en-GB"/>
        </w:rPr>
        <w:t>Ineligible Activities</w:t>
      </w:r>
      <w:bookmarkEnd w:id="66"/>
    </w:p>
    <w:p w14:paraId="4E57EE5B" w14:textId="1F87280A" w:rsidR="00313D89" w:rsidRPr="00065189" w:rsidRDefault="00F3103D" w:rsidP="00F3103D">
      <w:pPr>
        <w:spacing w:before="120" w:line="276" w:lineRule="auto"/>
        <w:jc w:val="both"/>
        <w:rPr>
          <w:rFonts w:cs="Arial"/>
          <w:lang w:val="en-GB"/>
        </w:rPr>
      </w:pPr>
      <w:r w:rsidRPr="00065189">
        <w:rPr>
          <w:rFonts w:cs="Arial"/>
          <w:lang w:val="en-GB"/>
        </w:rPr>
        <w:t>Ineligible activities include</w:t>
      </w:r>
      <w:r w:rsidR="0010550B" w:rsidRPr="00065189">
        <w:rPr>
          <w:rFonts w:cs="Arial"/>
          <w:lang w:val="en-GB"/>
        </w:rPr>
        <w:t xml:space="preserve"> the</w:t>
      </w:r>
      <w:r w:rsidRPr="00065189">
        <w:rPr>
          <w:rFonts w:cs="Arial"/>
          <w:lang w:val="en-GB"/>
        </w:rPr>
        <w:t xml:space="preserve"> activities, business activities and purposes that are not eligible for f</w:t>
      </w:r>
      <w:r w:rsidR="002B0989" w:rsidRPr="00065189">
        <w:rPr>
          <w:rFonts w:cs="Arial"/>
          <w:lang w:val="en-GB"/>
        </w:rPr>
        <w:t xml:space="preserve">inancing and the </w:t>
      </w:r>
      <w:r w:rsidRPr="00065189">
        <w:rPr>
          <w:rFonts w:cs="Arial"/>
          <w:lang w:val="en-GB"/>
        </w:rPr>
        <w:t>corresponding exemptions, if any</w:t>
      </w:r>
      <w:r w:rsidR="00313D89" w:rsidRPr="00065189">
        <w:rPr>
          <w:rFonts w:cs="Arial"/>
          <w:lang w:val="en-GB"/>
        </w:rPr>
        <w:t>.</w:t>
      </w:r>
    </w:p>
    <w:p w14:paraId="0052F21E" w14:textId="7C04BE4A" w:rsidR="00FA6E4D" w:rsidRPr="00065189" w:rsidRDefault="009D3534" w:rsidP="00313D89">
      <w:pPr>
        <w:spacing w:before="120" w:line="276" w:lineRule="auto"/>
        <w:jc w:val="both"/>
        <w:rPr>
          <w:rFonts w:cs="Arial"/>
          <w:lang w:val="en-GB"/>
        </w:rPr>
      </w:pPr>
      <w:r w:rsidRPr="00065189">
        <w:rPr>
          <w:rFonts w:cs="Arial"/>
          <w:lang w:val="en-GB"/>
        </w:rPr>
        <w:t xml:space="preserve">The list of ineligible activities can be found in </w:t>
      </w:r>
      <w:r w:rsidRPr="00065189">
        <w:rPr>
          <w:rFonts w:cs="Arial"/>
          <w:b/>
          <w:bCs/>
          <w:lang w:val="en-GB"/>
        </w:rPr>
        <w:t xml:space="preserve">Schedule </w:t>
      </w:r>
      <w:r w:rsidR="00313D89" w:rsidRPr="00065189">
        <w:rPr>
          <w:rFonts w:cs="Arial"/>
          <w:b/>
          <w:bCs/>
          <w:lang w:val="en-GB"/>
        </w:rPr>
        <w:t xml:space="preserve">1 </w:t>
      </w:r>
      <w:r w:rsidRPr="00065189">
        <w:rPr>
          <w:rFonts w:cs="Arial"/>
          <w:lang w:val="en-GB"/>
        </w:rPr>
        <w:t>to these General Eligibility Criteria.</w:t>
      </w:r>
    </w:p>
    <w:p w14:paraId="25A6F6B4" w14:textId="0D5F04B1" w:rsidR="00F0675B" w:rsidRPr="00065189" w:rsidRDefault="00F0675B" w:rsidP="001A4F54">
      <w:pPr>
        <w:pStyle w:val="HeadingA"/>
        <w:numPr>
          <w:ilvl w:val="0"/>
          <w:numId w:val="4"/>
        </w:numPr>
        <w:spacing w:after="240" w:line="276" w:lineRule="auto"/>
        <w:ind w:left="357" w:hanging="357"/>
        <w:outlineLvl w:val="0"/>
        <w:rPr>
          <w:rFonts w:ascii="Arial" w:hAnsi="Arial" w:cs="Arial"/>
          <w:sz w:val="24"/>
          <w:szCs w:val="24"/>
          <w:lang w:val="en-GB"/>
        </w:rPr>
      </w:pPr>
      <w:bookmarkStart w:id="67" w:name="_Toc534881548"/>
      <w:bookmarkStart w:id="68" w:name="_Toc137558536"/>
      <w:bookmarkEnd w:id="59"/>
      <w:r w:rsidRPr="00065189">
        <w:rPr>
          <w:rFonts w:ascii="Arial" w:hAnsi="Arial" w:cs="Arial"/>
          <w:sz w:val="24"/>
          <w:szCs w:val="24"/>
          <w:lang w:val="en-GB"/>
        </w:rPr>
        <w:t>P</w:t>
      </w:r>
      <w:r w:rsidR="00833914" w:rsidRPr="00065189">
        <w:rPr>
          <w:rFonts w:ascii="Arial" w:hAnsi="Arial" w:cs="Arial"/>
          <w:sz w:val="24"/>
          <w:szCs w:val="24"/>
          <w:lang w:val="en-GB"/>
        </w:rPr>
        <w:t xml:space="preserve">romotional Interest Rates and Aid </w:t>
      </w:r>
      <w:r w:rsidR="00A47B26" w:rsidRPr="00065189">
        <w:rPr>
          <w:rFonts w:ascii="Arial" w:hAnsi="Arial" w:cs="Arial"/>
          <w:sz w:val="24"/>
          <w:szCs w:val="24"/>
          <w:lang w:val="en-GB"/>
        </w:rPr>
        <w:t>Rules</w:t>
      </w:r>
      <w:bookmarkEnd w:id="67"/>
      <w:bookmarkEnd w:id="68"/>
    </w:p>
    <w:p w14:paraId="39C47A31" w14:textId="04BEB8FE" w:rsidR="00AF27D7" w:rsidRPr="00065189" w:rsidRDefault="00AF27D7" w:rsidP="00D65C34">
      <w:pPr>
        <w:pStyle w:val="Header"/>
        <w:spacing w:after="240" w:line="276" w:lineRule="auto"/>
        <w:jc w:val="both"/>
        <w:rPr>
          <w:rFonts w:cs="Arial"/>
          <w:szCs w:val="20"/>
          <w:lang w:val="en-GB"/>
        </w:rPr>
      </w:pPr>
      <w:r w:rsidRPr="00065189">
        <w:rPr>
          <w:rFonts w:cs="Arial"/>
          <w:szCs w:val="20"/>
          <w:lang w:val="en-GB"/>
        </w:rPr>
        <w:t>Pursuant to its loan programmes</w:t>
      </w:r>
      <w:r w:rsidR="00B41007" w:rsidRPr="00065189">
        <w:rPr>
          <w:rFonts w:cs="Arial"/>
          <w:szCs w:val="20"/>
          <w:lang w:val="en-GB"/>
        </w:rPr>
        <w:t xml:space="preserve"> (other loan products included, if applicable)</w:t>
      </w:r>
      <w:r w:rsidRPr="00065189">
        <w:rPr>
          <w:rFonts w:cs="Arial"/>
          <w:szCs w:val="20"/>
          <w:lang w:val="en-GB"/>
        </w:rPr>
        <w:t xml:space="preserve">, HBOR approves loans </w:t>
      </w:r>
      <w:r w:rsidR="00BB5F0F" w:rsidRPr="00065189">
        <w:rPr>
          <w:rFonts w:cs="Arial"/>
          <w:szCs w:val="20"/>
          <w:lang w:val="en-GB"/>
        </w:rPr>
        <w:t>to borrower</w:t>
      </w:r>
      <w:r w:rsidR="00D905A4" w:rsidRPr="00065189">
        <w:rPr>
          <w:rFonts w:cs="Arial"/>
          <w:szCs w:val="20"/>
          <w:lang w:val="en-GB"/>
        </w:rPr>
        <w:t>s</w:t>
      </w:r>
      <w:r w:rsidR="00BB5F0F" w:rsidRPr="00065189">
        <w:rPr>
          <w:rFonts w:cs="Arial"/>
          <w:szCs w:val="20"/>
          <w:lang w:val="en-GB"/>
        </w:rPr>
        <w:t xml:space="preserve"> </w:t>
      </w:r>
      <w:r w:rsidRPr="00065189">
        <w:rPr>
          <w:rFonts w:cs="Arial"/>
          <w:szCs w:val="20"/>
          <w:lang w:val="en-GB"/>
        </w:rPr>
        <w:t xml:space="preserve">at </w:t>
      </w:r>
      <w:r w:rsidRPr="00065189">
        <w:rPr>
          <w:rFonts w:cs="Arial"/>
          <w:b/>
          <w:bCs/>
          <w:szCs w:val="20"/>
          <w:lang w:val="en-GB"/>
        </w:rPr>
        <w:t>promotional interest rate or at general interest rate</w:t>
      </w:r>
      <w:r w:rsidRPr="00065189">
        <w:rPr>
          <w:rFonts w:cs="Arial"/>
          <w:szCs w:val="20"/>
          <w:lang w:val="en-GB"/>
        </w:rPr>
        <w:t xml:space="preserve"> if the loan cannot be approved at promotional interest rate.</w:t>
      </w:r>
    </w:p>
    <w:p w14:paraId="5E808F33" w14:textId="572FE4B1" w:rsidR="00F60857" w:rsidRPr="00065189" w:rsidRDefault="00065189" w:rsidP="00F60857">
      <w:pPr>
        <w:pStyle w:val="Header"/>
        <w:spacing w:before="240" w:line="276" w:lineRule="auto"/>
        <w:jc w:val="both"/>
        <w:rPr>
          <w:rFonts w:cs="Arial"/>
          <w:b/>
          <w:bCs/>
          <w:szCs w:val="20"/>
          <w:lang w:val="en-GB"/>
        </w:rPr>
      </w:pPr>
      <w:r w:rsidRPr="00065189">
        <w:rPr>
          <w:rFonts w:cs="Arial"/>
          <w:bCs/>
          <w:szCs w:val="20"/>
          <w:lang w:val="en-GB"/>
        </w:rPr>
        <w:t>In the case of on-lending through financial institutions (commercial banks or leasing companies) and if so prescribed by the loan programme, loan product of HBOR and/or contractual documentation with financial institutions, the interest rate for the final borrower is determined by the financial institution</w:t>
      </w:r>
      <w:r w:rsidR="00F60857" w:rsidRPr="00065189">
        <w:rPr>
          <w:rFonts w:cs="Arial"/>
          <w:bCs/>
          <w:szCs w:val="20"/>
          <w:lang w:val="en-GB"/>
        </w:rPr>
        <w:t>.</w:t>
      </w:r>
    </w:p>
    <w:p w14:paraId="05027484" w14:textId="67617985" w:rsidR="00F60857" w:rsidRPr="00065189" w:rsidRDefault="00B668E7" w:rsidP="00F60857">
      <w:pPr>
        <w:pStyle w:val="Header"/>
        <w:spacing w:before="240" w:line="276" w:lineRule="auto"/>
        <w:jc w:val="both"/>
        <w:rPr>
          <w:rFonts w:cs="Arial"/>
          <w:b/>
          <w:bCs/>
          <w:szCs w:val="20"/>
          <w:lang w:val="en-GB"/>
        </w:rPr>
      </w:pPr>
      <w:r w:rsidRPr="00B668E7">
        <w:rPr>
          <w:rFonts w:cs="Arial"/>
          <w:bCs/>
          <w:szCs w:val="20"/>
          <w:lang w:val="en-GB"/>
        </w:rPr>
        <w:t>If the loan is contracted at promotional interest rate, HBOR grants aid to the borrower. If it is not possible to grant aid to the borrower, the loan is approved and contracted at general interest rate</w:t>
      </w:r>
      <w:r w:rsidR="00F60857" w:rsidRPr="00065189">
        <w:rPr>
          <w:rFonts w:cs="Arial"/>
          <w:bCs/>
          <w:szCs w:val="20"/>
          <w:lang w:val="en-GB"/>
        </w:rPr>
        <w:t xml:space="preserve">. </w:t>
      </w:r>
    </w:p>
    <w:p w14:paraId="4A3CAF63" w14:textId="14F0548A" w:rsidR="00F60857" w:rsidRPr="00065189" w:rsidRDefault="00F60857" w:rsidP="00F60857">
      <w:pPr>
        <w:pStyle w:val="HeadingA"/>
        <w:numPr>
          <w:ilvl w:val="0"/>
          <w:numId w:val="0"/>
        </w:numPr>
        <w:spacing w:before="240" w:after="0" w:line="276" w:lineRule="auto"/>
        <w:outlineLvl w:val="2"/>
        <w:rPr>
          <w:rFonts w:ascii="Arial" w:hAnsi="Arial" w:cs="Arial"/>
          <w:color w:val="auto"/>
          <w:sz w:val="20"/>
          <w:szCs w:val="20"/>
          <w:lang w:val="en-GB"/>
        </w:rPr>
      </w:pPr>
      <w:bookmarkStart w:id="69" w:name="_Toc135126329"/>
      <w:bookmarkStart w:id="70" w:name="_Toc137558537"/>
      <w:r w:rsidRPr="00065189">
        <w:rPr>
          <w:rFonts w:ascii="Arial" w:hAnsi="Arial" w:cs="Arial"/>
          <w:color w:val="auto"/>
          <w:sz w:val="20"/>
          <w:szCs w:val="20"/>
          <w:lang w:val="en-GB"/>
        </w:rPr>
        <w:t>P</w:t>
      </w:r>
      <w:r w:rsidR="00B668E7">
        <w:rPr>
          <w:rFonts w:ascii="Arial" w:hAnsi="Arial" w:cs="Arial"/>
          <w:color w:val="auto"/>
          <w:sz w:val="20"/>
          <w:szCs w:val="20"/>
          <w:lang w:val="en-GB"/>
        </w:rPr>
        <w:t>romotional interest rate</w:t>
      </w:r>
      <w:bookmarkEnd w:id="69"/>
      <w:bookmarkEnd w:id="70"/>
      <w:r w:rsidRPr="00065189">
        <w:rPr>
          <w:rFonts w:ascii="Arial" w:hAnsi="Arial" w:cs="Arial"/>
          <w:color w:val="auto"/>
          <w:sz w:val="20"/>
          <w:szCs w:val="20"/>
          <w:lang w:val="en-GB"/>
        </w:rPr>
        <w:t xml:space="preserve"> </w:t>
      </w:r>
    </w:p>
    <w:p w14:paraId="15215517" w14:textId="2801C906" w:rsidR="00F60857" w:rsidRPr="00065189" w:rsidRDefault="000C7917" w:rsidP="00F60857">
      <w:pPr>
        <w:pStyle w:val="Header"/>
        <w:spacing w:line="276" w:lineRule="auto"/>
        <w:jc w:val="both"/>
        <w:rPr>
          <w:lang w:val="en-GB"/>
        </w:rPr>
      </w:pPr>
      <w:r w:rsidRPr="000C7917">
        <w:rPr>
          <w:rFonts w:cs="Arial"/>
          <w:szCs w:val="20"/>
          <w:lang w:val="en-GB"/>
        </w:rPr>
        <w:t>The interest rate on the loan that contains aid, i.e. the loan is approved/contracted at effective interest rate that is lower than the reference interest rate for the borrower</w:t>
      </w:r>
      <w:bookmarkStart w:id="71" w:name="_Hlk135309408"/>
      <w:r w:rsidR="00F60857" w:rsidRPr="00065189">
        <w:rPr>
          <w:rFonts w:cs="Arial"/>
          <w:szCs w:val="20"/>
          <w:lang w:val="en-GB"/>
        </w:rPr>
        <w:t>.</w:t>
      </w:r>
      <w:r w:rsidR="00F60857" w:rsidRPr="00065189">
        <w:rPr>
          <w:rStyle w:val="FootnoteReference"/>
          <w:rFonts w:cs="Arial"/>
          <w:szCs w:val="20"/>
          <w:lang w:val="en-GB"/>
        </w:rPr>
        <w:footnoteReference w:id="3"/>
      </w:r>
      <w:bookmarkEnd w:id="71"/>
    </w:p>
    <w:p w14:paraId="3ACA0AF4" w14:textId="15FF0C31" w:rsidR="00F60857" w:rsidRPr="00065189" w:rsidRDefault="008A2210" w:rsidP="00F60857">
      <w:pPr>
        <w:pStyle w:val="HeadingA"/>
        <w:numPr>
          <w:ilvl w:val="0"/>
          <w:numId w:val="0"/>
        </w:numPr>
        <w:spacing w:before="240" w:after="0" w:line="276" w:lineRule="auto"/>
        <w:jc w:val="both"/>
        <w:outlineLvl w:val="2"/>
        <w:rPr>
          <w:rFonts w:ascii="Arial" w:hAnsi="Arial" w:cs="Arial"/>
          <w:b w:val="0"/>
          <w:color w:val="auto"/>
          <w:sz w:val="20"/>
          <w:szCs w:val="20"/>
          <w:lang w:val="en-GB"/>
        </w:rPr>
      </w:pPr>
      <w:bookmarkStart w:id="72" w:name="_Toc135126330"/>
      <w:bookmarkStart w:id="73" w:name="_Toc137558538"/>
      <w:r>
        <w:rPr>
          <w:rFonts w:ascii="Arial" w:hAnsi="Arial" w:cs="Arial"/>
          <w:color w:val="auto"/>
          <w:sz w:val="20"/>
          <w:szCs w:val="20"/>
          <w:lang w:val="en-GB"/>
        </w:rPr>
        <w:t>General interest rate</w:t>
      </w:r>
      <w:bookmarkEnd w:id="72"/>
      <w:bookmarkEnd w:id="73"/>
    </w:p>
    <w:p w14:paraId="741303EF" w14:textId="665F93CC" w:rsidR="00F60857" w:rsidRPr="00065189" w:rsidRDefault="008A2210" w:rsidP="00F60857">
      <w:pPr>
        <w:pStyle w:val="Header"/>
        <w:spacing w:line="276" w:lineRule="auto"/>
        <w:jc w:val="both"/>
        <w:rPr>
          <w:rFonts w:cs="Arial"/>
          <w:bCs/>
          <w:szCs w:val="20"/>
          <w:lang w:val="en-GB"/>
        </w:rPr>
      </w:pPr>
      <w:r w:rsidRPr="008A2210">
        <w:rPr>
          <w:rFonts w:cs="Arial"/>
          <w:bCs/>
          <w:szCs w:val="20"/>
          <w:lang w:val="en-GB"/>
        </w:rPr>
        <w:t>The interest rate on the loan that does not contain aid, i.e. the loan is approved/contracted at effective interest rate that is equal to or higher than the reference interest rate for the borrower</w:t>
      </w:r>
      <w:r w:rsidR="00F60857" w:rsidRPr="00065189">
        <w:rPr>
          <w:rFonts w:cs="Arial"/>
          <w:bCs/>
          <w:szCs w:val="20"/>
          <w:lang w:val="en-GB"/>
        </w:rPr>
        <w:t xml:space="preserve">. </w:t>
      </w:r>
    </w:p>
    <w:p w14:paraId="188AEB1A" w14:textId="2E713EBF" w:rsidR="00F60857" w:rsidRPr="00065189" w:rsidRDefault="00F60857" w:rsidP="00F60857">
      <w:pPr>
        <w:pStyle w:val="Header"/>
        <w:spacing w:before="240" w:line="276" w:lineRule="auto"/>
        <w:jc w:val="both"/>
        <w:rPr>
          <w:rFonts w:cs="Arial"/>
          <w:b/>
          <w:szCs w:val="20"/>
          <w:lang w:val="en-GB"/>
        </w:rPr>
      </w:pPr>
      <w:r w:rsidRPr="00065189">
        <w:rPr>
          <w:rFonts w:cs="Arial"/>
          <w:b/>
          <w:szCs w:val="20"/>
          <w:lang w:val="en-GB"/>
        </w:rPr>
        <w:t>Ef</w:t>
      </w:r>
      <w:r w:rsidR="003F7E61">
        <w:rPr>
          <w:rFonts w:cs="Arial"/>
          <w:b/>
          <w:szCs w:val="20"/>
          <w:lang w:val="en-GB"/>
        </w:rPr>
        <w:t>f</w:t>
      </w:r>
      <w:r w:rsidRPr="00065189">
        <w:rPr>
          <w:rFonts w:cs="Arial"/>
          <w:b/>
          <w:szCs w:val="20"/>
          <w:lang w:val="en-GB"/>
        </w:rPr>
        <w:t>e</w:t>
      </w:r>
      <w:r w:rsidR="003F7E61">
        <w:rPr>
          <w:rFonts w:cs="Arial"/>
          <w:b/>
          <w:szCs w:val="20"/>
          <w:lang w:val="en-GB"/>
        </w:rPr>
        <w:t>c</w:t>
      </w:r>
      <w:r w:rsidRPr="00065189">
        <w:rPr>
          <w:rFonts w:cs="Arial"/>
          <w:b/>
          <w:szCs w:val="20"/>
          <w:lang w:val="en-GB"/>
        </w:rPr>
        <w:t>tiv</w:t>
      </w:r>
      <w:r w:rsidR="003F7E61">
        <w:rPr>
          <w:rFonts w:cs="Arial"/>
          <w:b/>
          <w:szCs w:val="20"/>
          <w:lang w:val="en-GB"/>
        </w:rPr>
        <w:t>e interest rate</w:t>
      </w:r>
      <w:r w:rsidRPr="00065189">
        <w:rPr>
          <w:rFonts w:cs="Arial"/>
          <w:bCs/>
          <w:szCs w:val="20"/>
          <w:lang w:val="en-GB"/>
        </w:rPr>
        <w:t xml:space="preserve"> (E</w:t>
      </w:r>
      <w:r w:rsidR="003F7E61">
        <w:rPr>
          <w:rFonts w:cs="Arial"/>
          <w:bCs/>
          <w:szCs w:val="20"/>
          <w:lang w:val="en-GB"/>
        </w:rPr>
        <w:t>IR</w:t>
      </w:r>
      <w:r w:rsidRPr="00065189">
        <w:rPr>
          <w:rFonts w:cs="Arial"/>
          <w:bCs/>
          <w:szCs w:val="20"/>
          <w:lang w:val="en-GB"/>
        </w:rPr>
        <w:t xml:space="preserve">) </w:t>
      </w:r>
      <w:r w:rsidR="003F7E61" w:rsidRPr="003F7E61">
        <w:rPr>
          <w:rFonts w:cs="Arial"/>
          <w:bCs/>
          <w:szCs w:val="20"/>
          <w:lang w:val="en-GB"/>
        </w:rPr>
        <w:t>is the interest rate that expresses total costs of a loan in accordance with the Decision on the Effective Interest Rate of the Croatian National Bank (HNB) in effect and is determined in accordance with the provisions of HBOR’s internal documents (Ordinance on Manner and Deadlines for Interest Calculation in effect or another substitute document</w:t>
      </w:r>
      <w:r w:rsidRPr="00065189">
        <w:rPr>
          <w:rFonts w:cs="Arial"/>
          <w:szCs w:val="20"/>
          <w:lang w:val="en-GB"/>
        </w:rPr>
        <w:t>).</w:t>
      </w:r>
    </w:p>
    <w:p w14:paraId="246A00EA" w14:textId="338F28CB" w:rsidR="00F60857" w:rsidRDefault="00F60857" w:rsidP="00F60857">
      <w:pPr>
        <w:pStyle w:val="Header"/>
        <w:spacing w:before="240" w:line="276" w:lineRule="auto"/>
        <w:jc w:val="both"/>
        <w:rPr>
          <w:rFonts w:cs="Arial"/>
          <w:szCs w:val="20"/>
          <w:lang w:val="en-GB"/>
        </w:rPr>
      </w:pPr>
      <w:r w:rsidRPr="00065189">
        <w:rPr>
          <w:rFonts w:cs="Arial"/>
          <w:b/>
          <w:szCs w:val="20"/>
          <w:lang w:val="en-GB"/>
        </w:rPr>
        <w:t>Referen</w:t>
      </w:r>
      <w:r w:rsidR="00BC359E">
        <w:rPr>
          <w:rFonts w:cs="Arial"/>
          <w:b/>
          <w:szCs w:val="20"/>
          <w:lang w:val="en-GB"/>
        </w:rPr>
        <w:t xml:space="preserve">ce interest rate </w:t>
      </w:r>
      <w:r w:rsidR="00BC359E" w:rsidRPr="00BC359E">
        <w:rPr>
          <w:rFonts w:cs="Arial"/>
          <w:szCs w:val="20"/>
          <w:lang w:val="en-GB"/>
        </w:rPr>
        <w:t xml:space="preserve">is the base rate (calculated and published by the European Commission) increased by a certain number of basis points (margin) depending on the assessment of the client (credit rating) and the assessment of collateral in accordance with the Communication from the European </w:t>
      </w:r>
      <w:r w:rsidR="00BC359E" w:rsidRPr="00BC359E">
        <w:rPr>
          <w:rFonts w:cs="Arial"/>
          <w:szCs w:val="20"/>
          <w:lang w:val="en-GB"/>
        </w:rPr>
        <w:lastRenderedPageBreak/>
        <w:t>Commission. HBOR's rules for determining reference and discount rates are in line with the rules of the European Commission in effect, i.e. the Communication from the Commission on the revision of the method for setting the reference and discount rates (OJ C 14, 19.1.2008</w:t>
      </w:r>
      <w:r w:rsidRPr="00065189">
        <w:rPr>
          <w:rFonts w:cs="Arial"/>
          <w:szCs w:val="20"/>
          <w:lang w:val="en-GB"/>
        </w:rPr>
        <w:t>).</w:t>
      </w:r>
    </w:p>
    <w:p w14:paraId="7ACDD4B3" w14:textId="68483566" w:rsidR="00AF27D7" w:rsidRPr="00065189" w:rsidRDefault="00C82D41" w:rsidP="00AF27D7">
      <w:pPr>
        <w:pStyle w:val="HeadingA"/>
        <w:numPr>
          <w:ilvl w:val="0"/>
          <w:numId w:val="0"/>
        </w:numPr>
        <w:spacing w:before="240" w:after="0" w:line="276" w:lineRule="auto"/>
        <w:outlineLvl w:val="2"/>
        <w:rPr>
          <w:rFonts w:ascii="Arial" w:hAnsi="Arial" w:cs="Arial"/>
          <w:color w:val="auto"/>
          <w:sz w:val="20"/>
          <w:szCs w:val="20"/>
          <w:lang w:val="en-GB"/>
        </w:rPr>
      </w:pPr>
      <w:bookmarkStart w:id="74" w:name="_Toc135126331"/>
      <w:bookmarkStart w:id="75" w:name="_Toc4408951"/>
      <w:bookmarkStart w:id="76" w:name="_Toc137558539"/>
      <w:r>
        <w:rPr>
          <w:rFonts w:ascii="Arial" w:hAnsi="Arial" w:cs="Arial"/>
          <w:color w:val="auto"/>
          <w:sz w:val="20"/>
          <w:szCs w:val="20"/>
          <w:lang w:val="en-GB"/>
        </w:rPr>
        <w:t>Aid</w:t>
      </w:r>
      <w:bookmarkEnd w:id="74"/>
      <w:bookmarkEnd w:id="75"/>
      <w:bookmarkEnd w:id="76"/>
    </w:p>
    <w:p w14:paraId="1FB002EE" w14:textId="79ADF384" w:rsidR="008527D2" w:rsidRPr="00065189" w:rsidRDefault="00DE2643" w:rsidP="008527D2">
      <w:pPr>
        <w:tabs>
          <w:tab w:val="center" w:pos="4536"/>
          <w:tab w:val="right" w:pos="9072"/>
        </w:tabs>
        <w:spacing w:line="276" w:lineRule="auto"/>
        <w:jc w:val="both"/>
        <w:rPr>
          <w:rFonts w:cs="Arial"/>
          <w:szCs w:val="20"/>
          <w:lang w:val="en-GB"/>
        </w:rPr>
      </w:pPr>
      <w:r w:rsidRPr="00065189">
        <w:rPr>
          <w:rFonts w:cs="Arial"/>
          <w:szCs w:val="20"/>
          <w:lang w:val="en-GB"/>
        </w:rPr>
        <w:t xml:space="preserve">Aid in </w:t>
      </w:r>
      <w:r w:rsidR="00A900D2" w:rsidRPr="00065189">
        <w:rPr>
          <w:rFonts w:cs="Arial"/>
          <w:szCs w:val="20"/>
          <w:lang w:val="en-GB"/>
        </w:rPr>
        <w:t>the</w:t>
      </w:r>
      <w:r w:rsidRPr="00065189">
        <w:rPr>
          <w:rFonts w:cs="Arial"/>
          <w:szCs w:val="20"/>
          <w:lang w:val="en-GB"/>
        </w:rPr>
        <w:t xml:space="preserve"> loan that is approved/contracted at</w:t>
      </w:r>
      <w:r w:rsidR="00941263" w:rsidRPr="00065189">
        <w:rPr>
          <w:rFonts w:cs="Arial"/>
          <w:szCs w:val="20"/>
          <w:lang w:val="en-GB"/>
        </w:rPr>
        <w:t xml:space="preserve"> promotional interest rate</w:t>
      </w:r>
      <w:r w:rsidR="00CB7314" w:rsidRPr="00065189">
        <w:rPr>
          <w:rFonts w:cs="Arial"/>
          <w:szCs w:val="20"/>
          <w:lang w:val="en-GB"/>
        </w:rPr>
        <w:t xml:space="preserve"> can</w:t>
      </w:r>
      <w:r w:rsidR="00F4686C" w:rsidRPr="00065189">
        <w:rPr>
          <w:rFonts w:cs="Arial"/>
          <w:szCs w:val="20"/>
          <w:lang w:val="en-GB"/>
        </w:rPr>
        <w:t xml:space="preserve"> equal </w:t>
      </w:r>
      <w:r w:rsidR="00CB7314" w:rsidRPr="00065189">
        <w:rPr>
          <w:rFonts w:cs="Arial"/>
          <w:szCs w:val="20"/>
          <w:lang w:val="en-GB"/>
        </w:rPr>
        <w:t xml:space="preserve">a </w:t>
      </w:r>
      <w:r w:rsidR="008527D2" w:rsidRPr="00065189">
        <w:rPr>
          <w:rFonts w:cs="Arial"/>
          <w:szCs w:val="20"/>
          <w:lang w:val="en-GB"/>
        </w:rPr>
        <w:t>dis</w:t>
      </w:r>
      <w:r w:rsidR="00CB7314" w:rsidRPr="00065189">
        <w:rPr>
          <w:rFonts w:cs="Arial"/>
          <w:szCs w:val="20"/>
          <w:lang w:val="en-GB"/>
        </w:rPr>
        <w:t>counted</w:t>
      </w:r>
      <w:r w:rsidR="008527D2" w:rsidRPr="00065189">
        <w:rPr>
          <w:rFonts w:cs="Arial"/>
          <w:szCs w:val="20"/>
          <w:vertAlign w:val="superscript"/>
          <w:lang w:val="en-GB"/>
        </w:rPr>
        <w:footnoteReference w:id="4"/>
      </w:r>
      <w:r w:rsidR="008527D2" w:rsidRPr="00065189">
        <w:rPr>
          <w:rFonts w:cs="Arial"/>
          <w:szCs w:val="20"/>
          <w:lang w:val="en-GB"/>
        </w:rPr>
        <w:t xml:space="preserve"> </w:t>
      </w:r>
      <w:r w:rsidR="00CB7314" w:rsidRPr="00065189">
        <w:rPr>
          <w:rFonts w:cs="Arial"/>
          <w:szCs w:val="20"/>
          <w:lang w:val="en-GB"/>
        </w:rPr>
        <w:t>amount</w:t>
      </w:r>
      <w:r w:rsidR="008527D2" w:rsidRPr="00065189">
        <w:rPr>
          <w:rFonts w:cs="Arial"/>
          <w:szCs w:val="20"/>
          <w:lang w:val="en-GB"/>
        </w:rPr>
        <w:t xml:space="preserve">: </w:t>
      </w:r>
    </w:p>
    <w:p w14:paraId="3E6D269F" w14:textId="5841E391" w:rsidR="008527D2" w:rsidRPr="00065189" w:rsidRDefault="00CB7314" w:rsidP="008527D2">
      <w:pPr>
        <w:pStyle w:val="ListParagraph"/>
        <w:numPr>
          <w:ilvl w:val="0"/>
          <w:numId w:val="18"/>
        </w:numPr>
        <w:tabs>
          <w:tab w:val="center" w:pos="4536"/>
          <w:tab w:val="right" w:pos="9072"/>
        </w:tabs>
        <w:spacing w:line="276" w:lineRule="auto"/>
        <w:ind w:left="714" w:hanging="357"/>
        <w:jc w:val="both"/>
        <w:rPr>
          <w:rFonts w:cs="Arial"/>
          <w:szCs w:val="20"/>
          <w:lang w:val="en-GB"/>
        </w:rPr>
      </w:pPr>
      <w:r w:rsidRPr="00065189">
        <w:rPr>
          <w:rFonts w:cs="Arial"/>
          <w:szCs w:val="20"/>
          <w:lang w:val="en-GB"/>
        </w:rPr>
        <w:t xml:space="preserve">of interest calculated at </w:t>
      </w:r>
      <w:r w:rsidR="00625B33" w:rsidRPr="00065189">
        <w:rPr>
          <w:rFonts w:cs="Arial"/>
          <w:szCs w:val="20"/>
          <w:lang w:val="en-GB"/>
        </w:rPr>
        <w:t>the</w:t>
      </w:r>
      <w:r w:rsidRPr="00065189">
        <w:rPr>
          <w:rFonts w:cs="Arial"/>
          <w:szCs w:val="20"/>
          <w:lang w:val="en-GB"/>
        </w:rPr>
        <w:t xml:space="preserve"> interest rate</w:t>
      </w:r>
      <w:r w:rsidR="00625B33" w:rsidRPr="00065189">
        <w:rPr>
          <w:rFonts w:cs="Arial"/>
          <w:szCs w:val="20"/>
          <w:lang w:val="en-GB"/>
        </w:rPr>
        <w:t xml:space="preserve"> that represents the difference between the reference</w:t>
      </w:r>
      <w:r w:rsidR="0091381B" w:rsidRPr="00065189">
        <w:rPr>
          <w:rFonts w:cs="Arial"/>
          <w:szCs w:val="20"/>
          <w:lang w:val="en-GB"/>
        </w:rPr>
        <w:t xml:space="preserve"> interest rate </w:t>
      </w:r>
      <w:r w:rsidR="0087723F" w:rsidRPr="00065189">
        <w:rPr>
          <w:rFonts w:cs="Arial"/>
          <w:szCs w:val="20"/>
          <w:lang w:val="en-GB"/>
        </w:rPr>
        <w:t>calculated for the borrower</w:t>
      </w:r>
      <w:r w:rsidR="00625B33" w:rsidRPr="00065189">
        <w:rPr>
          <w:rFonts w:cs="Arial"/>
          <w:szCs w:val="20"/>
          <w:lang w:val="en-GB"/>
        </w:rPr>
        <w:t xml:space="preserve"> and </w:t>
      </w:r>
      <w:r w:rsidR="0087723F" w:rsidRPr="00065189">
        <w:rPr>
          <w:rFonts w:cs="Arial"/>
          <w:szCs w:val="20"/>
          <w:lang w:val="en-GB"/>
        </w:rPr>
        <w:t xml:space="preserve">the effective </w:t>
      </w:r>
      <w:r w:rsidR="00625B33" w:rsidRPr="00065189">
        <w:rPr>
          <w:rFonts w:cs="Arial"/>
          <w:szCs w:val="20"/>
          <w:lang w:val="en-GB"/>
        </w:rPr>
        <w:t xml:space="preserve">interest rate </w:t>
      </w:r>
      <w:r w:rsidR="0087723F" w:rsidRPr="00065189">
        <w:rPr>
          <w:rFonts w:cs="Arial"/>
          <w:szCs w:val="20"/>
          <w:lang w:val="en-GB"/>
        </w:rPr>
        <w:t>that is lower than the reference interest rate</w:t>
      </w:r>
      <w:r w:rsidR="008527D2" w:rsidRPr="00065189">
        <w:rPr>
          <w:rFonts w:cs="Arial"/>
          <w:szCs w:val="20"/>
          <w:lang w:val="en-GB"/>
        </w:rPr>
        <w:t>,</w:t>
      </w:r>
      <w:r w:rsidR="00062147" w:rsidRPr="00065189">
        <w:rPr>
          <w:rFonts w:cs="Arial"/>
          <w:szCs w:val="20"/>
          <w:lang w:val="en-GB"/>
        </w:rPr>
        <w:t xml:space="preserve"> or</w:t>
      </w:r>
    </w:p>
    <w:p w14:paraId="7C6F8A82" w14:textId="11502C6B" w:rsidR="008527D2" w:rsidRPr="00065189" w:rsidRDefault="00DA2FA0" w:rsidP="008527D2">
      <w:pPr>
        <w:pStyle w:val="ListParagraph"/>
        <w:numPr>
          <w:ilvl w:val="0"/>
          <w:numId w:val="18"/>
        </w:numPr>
        <w:tabs>
          <w:tab w:val="center" w:pos="4536"/>
          <w:tab w:val="right" w:pos="9072"/>
        </w:tabs>
        <w:spacing w:line="276" w:lineRule="auto"/>
        <w:ind w:left="714" w:hanging="357"/>
        <w:jc w:val="both"/>
        <w:rPr>
          <w:rFonts w:cs="Arial"/>
          <w:lang w:val="en-GB"/>
        </w:rPr>
      </w:pPr>
      <w:r w:rsidRPr="00065189">
        <w:rPr>
          <w:rFonts w:cs="Arial"/>
          <w:lang w:val="en-GB"/>
        </w:rPr>
        <w:t xml:space="preserve">of interest calculated at the interest rate that represents </w:t>
      </w:r>
      <w:r w:rsidR="003625E1" w:rsidRPr="00065189">
        <w:rPr>
          <w:rFonts w:cs="Arial"/>
          <w:lang w:val="en-GB"/>
        </w:rPr>
        <w:t>the</w:t>
      </w:r>
      <w:r w:rsidRPr="00065189">
        <w:rPr>
          <w:rFonts w:cs="Arial"/>
          <w:lang w:val="en-GB"/>
        </w:rPr>
        <w:t xml:space="preserve"> reduction of interest rate for the borrower</w:t>
      </w:r>
      <w:r w:rsidR="008527D2" w:rsidRPr="00065189">
        <w:rPr>
          <w:rFonts w:cs="Arial"/>
          <w:lang w:val="en-GB"/>
        </w:rPr>
        <w:t xml:space="preserve">, </w:t>
      </w:r>
      <w:r w:rsidR="003625E1" w:rsidRPr="00065189">
        <w:rPr>
          <w:rFonts w:cs="Arial"/>
          <w:lang w:val="en-GB"/>
        </w:rPr>
        <w:t>or</w:t>
      </w:r>
    </w:p>
    <w:p w14:paraId="5E219AE1" w14:textId="7DF5C0A0" w:rsidR="008527D2" w:rsidRPr="00065189" w:rsidRDefault="008527D2" w:rsidP="008527D2">
      <w:pPr>
        <w:pStyle w:val="ListParagraph"/>
        <w:numPr>
          <w:ilvl w:val="0"/>
          <w:numId w:val="18"/>
        </w:numPr>
        <w:tabs>
          <w:tab w:val="center" w:pos="4536"/>
          <w:tab w:val="right" w:pos="9072"/>
        </w:tabs>
        <w:spacing w:line="276" w:lineRule="auto"/>
        <w:ind w:left="714" w:hanging="357"/>
        <w:jc w:val="both"/>
        <w:rPr>
          <w:rFonts w:cs="Arial"/>
          <w:lang w:val="en-GB"/>
        </w:rPr>
      </w:pPr>
      <w:r w:rsidRPr="00065189">
        <w:rPr>
          <w:rFonts w:cs="Arial"/>
          <w:lang w:val="en-GB"/>
        </w:rPr>
        <w:t>o</w:t>
      </w:r>
      <w:r w:rsidR="00DA2FA0" w:rsidRPr="00065189">
        <w:rPr>
          <w:rFonts w:cs="Arial"/>
          <w:lang w:val="en-GB"/>
        </w:rPr>
        <w:t>f assigned nominal amount of interest rate subsidy</w:t>
      </w:r>
      <w:r w:rsidRPr="00065189">
        <w:rPr>
          <w:rFonts w:cs="Arial"/>
          <w:lang w:val="en-GB"/>
        </w:rPr>
        <w:t>.</w:t>
      </w:r>
    </w:p>
    <w:p w14:paraId="4A3F9B1B" w14:textId="0E4D3675" w:rsidR="008527D2" w:rsidRPr="00065189" w:rsidRDefault="00DA2FA0" w:rsidP="008527D2">
      <w:pPr>
        <w:tabs>
          <w:tab w:val="center" w:pos="4536"/>
          <w:tab w:val="right" w:pos="9072"/>
        </w:tabs>
        <w:spacing w:before="120" w:line="276" w:lineRule="auto"/>
        <w:jc w:val="both"/>
        <w:rPr>
          <w:rFonts w:cs="Arial"/>
          <w:szCs w:val="20"/>
          <w:lang w:val="en-GB"/>
        </w:rPr>
      </w:pPr>
      <w:r w:rsidRPr="00065189">
        <w:rPr>
          <w:rFonts w:cs="Arial"/>
          <w:szCs w:val="20"/>
          <w:lang w:val="en-GB"/>
        </w:rPr>
        <w:t>The possibility for granting aid depends</w:t>
      </w:r>
      <w:r w:rsidR="00333436" w:rsidRPr="00065189">
        <w:rPr>
          <w:rFonts w:cs="Arial"/>
          <w:szCs w:val="20"/>
          <w:lang w:val="en-GB"/>
        </w:rPr>
        <w:t xml:space="preserve"> on the following</w:t>
      </w:r>
      <w:r w:rsidR="008527D2" w:rsidRPr="00065189">
        <w:rPr>
          <w:rFonts w:cs="Arial"/>
          <w:szCs w:val="20"/>
          <w:lang w:val="en-GB"/>
        </w:rPr>
        <w:t>:</w:t>
      </w:r>
    </w:p>
    <w:p w14:paraId="052E2DD5" w14:textId="170F08D9" w:rsidR="008527D2" w:rsidRPr="00065189" w:rsidRDefault="00333436" w:rsidP="008527D2">
      <w:pPr>
        <w:numPr>
          <w:ilvl w:val="0"/>
          <w:numId w:val="8"/>
        </w:numPr>
        <w:spacing w:line="276" w:lineRule="auto"/>
        <w:contextualSpacing/>
        <w:jc w:val="both"/>
        <w:rPr>
          <w:rFonts w:cs="Arial"/>
          <w:szCs w:val="20"/>
          <w:lang w:val="en-GB"/>
        </w:rPr>
      </w:pPr>
      <w:r w:rsidRPr="00065189">
        <w:rPr>
          <w:rFonts w:cs="Arial"/>
          <w:szCs w:val="20"/>
          <w:lang w:val="en-GB"/>
        </w:rPr>
        <w:t>respective loan programme</w:t>
      </w:r>
      <w:r w:rsidR="00874D68" w:rsidRPr="00065189">
        <w:rPr>
          <w:rFonts w:cs="Arial"/>
          <w:szCs w:val="20"/>
          <w:lang w:val="en-GB"/>
        </w:rPr>
        <w:t xml:space="preserve"> or another loan product of HB</w:t>
      </w:r>
      <w:r w:rsidR="008527D2" w:rsidRPr="00065189">
        <w:rPr>
          <w:rFonts w:cs="Arial"/>
          <w:szCs w:val="20"/>
          <w:lang w:val="en-GB"/>
        </w:rPr>
        <w:t xml:space="preserve">OR, </w:t>
      </w:r>
    </w:p>
    <w:p w14:paraId="57A101BE" w14:textId="194F97AB" w:rsidR="008527D2" w:rsidRPr="00065189" w:rsidRDefault="00874D68" w:rsidP="008527D2">
      <w:pPr>
        <w:numPr>
          <w:ilvl w:val="0"/>
          <w:numId w:val="8"/>
        </w:numPr>
        <w:spacing w:line="276" w:lineRule="auto"/>
        <w:contextualSpacing/>
        <w:jc w:val="both"/>
        <w:rPr>
          <w:rFonts w:cs="Arial"/>
          <w:szCs w:val="20"/>
          <w:lang w:val="en-GB"/>
        </w:rPr>
      </w:pPr>
      <w:r w:rsidRPr="00065189">
        <w:rPr>
          <w:rFonts w:cs="Arial"/>
          <w:szCs w:val="20"/>
          <w:lang w:val="en-GB"/>
        </w:rPr>
        <w:t>level of reference interest rate for the bor</w:t>
      </w:r>
      <w:r w:rsidR="00AF7AAB" w:rsidRPr="00065189">
        <w:rPr>
          <w:rFonts w:cs="Arial"/>
          <w:szCs w:val="20"/>
          <w:lang w:val="en-GB"/>
        </w:rPr>
        <w:t>r</w:t>
      </w:r>
      <w:r w:rsidRPr="00065189">
        <w:rPr>
          <w:rFonts w:cs="Arial"/>
          <w:szCs w:val="20"/>
          <w:lang w:val="en-GB"/>
        </w:rPr>
        <w:t>ower</w:t>
      </w:r>
      <w:r w:rsidR="008527D2" w:rsidRPr="00065189">
        <w:rPr>
          <w:rFonts w:cs="Arial"/>
          <w:szCs w:val="20"/>
          <w:lang w:val="en-GB"/>
        </w:rPr>
        <w:t>,</w:t>
      </w:r>
    </w:p>
    <w:p w14:paraId="56CCCD29" w14:textId="6580E7C7" w:rsidR="008527D2" w:rsidRPr="00065189" w:rsidRDefault="00874D68" w:rsidP="008527D2">
      <w:pPr>
        <w:numPr>
          <w:ilvl w:val="0"/>
          <w:numId w:val="8"/>
        </w:numPr>
        <w:spacing w:line="276" w:lineRule="auto"/>
        <w:contextualSpacing/>
        <w:jc w:val="both"/>
        <w:rPr>
          <w:rFonts w:cs="Arial"/>
          <w:szCs w:val="20"/>
          <w:lang w:val="en-GB"/>
        </w:rPr>
      </w:pPr>
      <w:r w:rsidRPr="00065189">
        <w:rPr>
          <w:rFonts w:cs="Arial"/>
          <w:szCs w:val="20"/>
          <w:lang w:val="en-GB"/>
        </w:rPr>
        <w:t>level of interest rate under the loan programme</w:t>
      </w:r>
      <w:r w:rsidR="00D85327" w:rsidRPr="00065189">
        <w:rPr>
          <w:rFonts w:cs="Arial"/>
          <w:szCs w:val="20"/>
          <w:lang w:val="en-GB"/>
        </w:rPr>
        <w:t>,</w:t>
      </w:r>
      <w:r w:rsidRPr="00065189">
        <w:rPr>
          <w:rFonts w:cs="Arial"/>
          <w:szCs w:val="20"/>
          <w:lang w:val="en-GB"/>
        </w:rPr>
        <w:t xml:space="preserve"> or level of interest rate </w:t>
      </w:r>
      <w:r w:rsidR="00BE7DE1" w:rsidRPr="00065189">
        <w:rPr>
          <w:rFonts w:cs="Arial"/>
          <w:szCs w:val="20"/>
          <w:lang w:val="en-GB"/>
        </w:rPr>
        <w:t xml:space="preserve">determined by </w:t>
      </w:r>
      <w:r w:rsidR="008527D2" w:rsidRPr="00065189">
        <w:rPr>
          <w:rFonts w:cs="Arial"/>
          <w:szCs w:val="20"/>
          <w:lang w:val="en-GB"/>
        </w:rPr>
        <w:t>HBOR</w:t>
      </w:r>
      <w:r w:rsidR="00BE7DE1" w:rsidRPr="00065189">
        <w:rPr>
          <w:rFonts w:cs="Arial"/>
          <w:szCs w:val="20"/>
          <w:lang w:val="en-GB"/>
        </w:rPr>
        <w:t xml:space="preserve"> separately for the borrower or level of interest rate </w:t>
      </w:r>
      <w:r w:rsidR="00D06EC1" w:rsidRPr="00065189">
        <w:rPr>
          <w:rFonts w:cs="Arial"/>
          <w:szCs w:val="20"/>
          <w:lang w:val="en-GB"/>
        </w:rPr>
        <w:t>determined by financial institution for the borrower</w:t>
      </w:r>
      <w:r w:rsidR="008527D2" w:rsidRPr="00065189">
        <w:rPr>
          <w:rFonts w:cs="Arial"/>
          <w:szCs w:val="20"/>
          <w:lang w:val="en-GB"/>
        </w:rPr>
        <w:t>,</w:t>
      </w:r>
    </w:p>
    <w:p w14:paraId="09E77065" w14:textId="773D0CE4" w:rsidR="008527D2" w:rsidRPr="00065189" w:rsidRDefault="00874D68" w:rsidP="008527D2">
      <w:pPr>
        <w:numPr>
          <w:ilvl w:val="0"/>
          <w:numId w:val="8"/>
        </w:numPr>
        <w:spacing w:line="276" w:lineRule="auto"/>
        <w:contextualSpacing/>
        <w:jc w:val="both"/>
        <w:rPr>
          <w:rFonts w:cs="Arial"/>
          <w:szCs w:val="20"/>
          <w:lang w:val="en-GB"/>
        </w:rPr>
      </w:pPr>
      <w:r w:rsidRPr="00065189">
        <w:rPr>
          <w:rFonts w:cs="Arial"/>
          <w:szCs w:val="20"/>
          <w:lang w:val="en-GB"/>
        </w:rPr>
        <w:t>subsidy rate, if applicable</w:t>
      </w:r>
      <w:r w:rsidR="008527D2" w:rsidRPr="00065189">
        <w:rPr>
          <w:rFonts w:cs="Arial"/>
          <w:szCs w:val="20"/>
          <w:lang w:val="en-GB"/>
        </w:rPr>
        <w:t>,</w:t>
      </w:r>
    </w:p>
    <w:p w14:paraId="0ECF85A5" w14:textId="2D93865D" w:rsidR="008527D2" w:rsidRPr="00065189" w:rsidRDefault="00434C9A" w:rsidP="008527D2">
      <w:pPr>
        <w:numPr>
          <w:ilvl w:val="0"/>
          <w:numId w:val="8"/>
        </w:numPr>
        <w:spacing w:line="276" w:lineRule="auto"/>
        <w:contextualSpacing/>
        <w:jc w:val="both"/>
        <w:rPr>
          <w:rFonts w:cs="Arial"/>
          <w:szCs w:val="20"/>
          <w:lang w:val="en-GB"/>
        </w:rPr>
      </w:pPr>
      <w:r w:rsidRPr="00065189">
        <w:rPr>
          <w:rFonts w:cs="Arial"/>
          <w:szCs w:val="20"/>
          <w:lang w:val="en-GB"/>
        </w:rPr>
        <w:t xml:space="preserve">possible reductions of interest rate, and </w:t>
      </w:r>
    </w:p>
    <w:p w14:paraId="4A46D233" w14:textId="212EC536" w:rsidR="008527D2" w:rsidRPr="00065189" w:rsidRDefault="00C25D2A" w:rsidP="008527D2">
      <w:pPr>
        <w:numPr>
          <w:ilvl w:val="0"/>
          <w:numId w:val="8"/>
        </w:numPr>
        <w:spacing w:line="276" w:lineRule="auto"/>
        <w:contextualSpacing/>
        <w:jc w:val="both"/>
        <w:rPr>
          <w:rFonts w:cs="Arial"/>
          <w:szCs w:val="20"/>
          <w:lang w:val="en-GB"/>
        </w:rPr>
      </w:pPr>
      <w:r w:rsidRPr="00065189">
        <w:rPr>
          <w:rFonts w:cs="Arial"/>
          <w:szCs w:val="20"/>
          <w:lang w:val="en-GB"/>
        </w:rPr>
        <w:t>possibilit</w:t>
      </w:r>
      <w:r w:rsidR="00245891" w:rsidRPr="00065189">
        <w:rPr>
          <w:rFonts w:cs="Arial"/>
          <w:szCs w:val="20"/>
          <w:lang w:val="en-GB"/>
        </w:rPr>
        <w:t>ies</w:t>
      </w:r>
      <w:r w:rsidRPr="00065189">
        <w:rPr>
          <w:rFonts w:cs="Arial"/>
          <w:szCs w:val="20"/>
          <w:lang w:val="en-GB"/>
        </w:rPr>
        <w:t xml:space="preserve"> </w:t>
      </w:r>
      <w:r w:rsidR="00F07C13" w:rsidRPr="00065189">
        <w:rPr>
          <w:rFonts w:cs="Arial"/>
          <w:szCs w:val="20"/>
          <w:lang w:val="en-GB"/>
        </w:rPr>
        <w:t xml:space="preserve">on the part of </w:t>
      </w:r>
      <w:r w:rsidRPr="00065189">
        <w:rPr>
          <w:rFonts w:cs="Arial"/>
          <w:szCs w:val="20"/>
          <w:lang w:val="en-GB"/>
        </w:rPr>
        <w:t xml:space="preserve">the borrower to </w:t>
      </w:r>
      <w:r w:rsidR="007F6519" w:rsidRPr="00065189">
        <w:rPr>
          <w:rFonts w:cs="Arial"/>
          <w:szCs w:val="20"/>
          <w:lang w:val="en-GB"/>
        </w:rPr>
        <w:t xml:space="preserve">exercise </w:t>
      </w:r>
      <w:r w:rsidRPr="00065189">
        <w:rPr>
          <w:rFonts w:cs="Arial"/>
          <w:szCs w:val="20"/>
          <w:lang w:val="en-GB"/>
        </w:rPr>
        <w:t>the right</w:t>
      </w:r>
      <w:r w:rsidR="00F07C13" w:rsidRPr="00065189">
        <w:rPr>
          <w:rFonts w:cs="Arial"/>
          <w:szCs w:val="20"/>
          <w:lang w:val="en-GB"/>
        </w:rPr>
        <w:t xml:space="preserve"> to the granting of aid</w:t>
      </w:r>
      <w:r w:rsidR="0097794A" w:rsidRPr="00065189">
        <w:rPr>
          <w:rFonts w:cs="Arial"/>
          <w:szCs w:val="20"/>
          <w:lang w:val="en-GB"/>
        </w:rPr>
        <w:t xml:space="preserve"> in accordance with the </w:t>
      </w:r>
      <w:r w:rsidR="005831CF" w:rsidRPr="00065189">
        <w:rPr>
          <w:rFonts w:cs="Arial"/>
          <w:szCs w:val="20"/>
          <w:lang w:val="en-GB"/>
        </w:rPr>
        <w:t xml:space="preserve">rules on state aid and de minimis aid in effect (including </w:t>
      </w:r>
      <w:r w:rsidR="00031F81" w:rsidRPr="00065189">
        <w:rPr>
          <w:rFonts w:cs="Arial"/>
          <w:szCs w:val="20"/>
          <w:lang w:val="en-GB"/>
        </w:rPr>
        <w:t xml:space="preserve">the </w:t>
      </w:r>
      <w:r w:rsidR="005831CF" w:rsidRPr="00065189">
        <w:rPr>
          <w:rFonts w:cs="Arial"/>
          <w:szCs w:val="20"/>
          <w:lang w:val="en-GB"/>
        </w:rPr>
        <w:t xml:space="preserve">type of investment </w:t>
      </w:r>
      <w:r w:rsidR="00031F81" w:rsidRPr="00065189">
        <w:rPr>
          <w:rFonts w:cs="Arial"/>
          <w:szCs w:val="20"/>
          <w:lang w:val="en-GB"/>
        </w:rPr>
        <w:t xml:space="preserve">and the </w:t>
      </w:r>
      <w:r w:rsidR="005831CF" w:rsidRPr="00065189">
        <w:rPr>
          <w:rFonts w:cs="Arial"/>
          <w:szCs w:val="20"/>
          <w:lang w:val="en-GB"/>
        </w:rPr>
        <w:t>activity of the borrower as well as the aid used so far</w:t>
      </w:r>
      <w:r w:rsidR="008527D2" w:rsidRPr="00065189">
        <w:rPr>
          <w:rFonts w:cs="Arial"/>
          <w:szCs w:val="20"/>
          <w:lang w:val="en-GB"/>
        </w:rPr>
        <w:t>).</w:t>
      </w:r>
    </w:p>
    <w:p w14:paraId="4D76C42E" w14:textId="70A27AF3" w:rsidR="00AF27D7" w:rsidRPr="00065189" w:rsidRDefault="00AF27D7" w:rsidP="00AF27D7">
      <w:pPr>
        <w:pStyle w:val="HeadingA"/>
        <w:numPr>
          <w:ilvl w:val="0"/>
          <w:numId w:val="0"/>
        </w:numPr>
        <w:spacing w:before="240" w:after="0" w:line="276" w:lineRule="auto"/>
        <w:outlineLvl w:val="2"/>
        <w:rPr>
          <w:rFonts w:ascii="Arial" w:hAnsi="Arial" w:cs="Arial"/>
          <w:color w:val="auto"/>
          <w:sz w:val="20"/>
          <w:szCs w:val="20"/>
          <w:lang w:val="en-GB"/>
        </w:rPr>
      </w:pPr>
      <w:bookmarkStart w:id="77" w:name="_Toc103874800"/>
      <w:bookmarkStart w:id="78" w:name="_Toc137558540"/>
      <w:r w:rsidRPr="00065189">
        <w:rPr>
          <w:rFonts w:ascii="Arial" w:hAnsi="Arial" w:cs="Arial"/>
          <w:color w:val="auto"/>
          <w:sz w:val="20"/>
          <w:szCs w:val="20"/>
          <w:lang w:val="en-GB"/>
        </w:rPr>
        <w:t xml:space="preserve">Type of investment and </w:t>
      </w:r>
      <w:r w:rsidR="00A20F64" w:rsidRPr="00065189">
        <w:rPr>
          <w:rFonts w:ascii="Arial" w:hAnsi="Arial" w:cs="Arial"/>
          <w:color w:val="auto"/>
          <w:sz w:val="20"/>
          <w:szCs w:val="20"/>
          <w:lang w:val="en-GB"/>
        </w:rPr>
        <w:t>aid</w:t>
      </w:r>
      <w:bookmarkEnd w:id="77"/>
      <w:bookmarkEnd w:id="78"/>
    </w:p>
    <w:p w14:paraId="016430E3" w14:textId="3E51F6F9" w:rsidR="005C1C15" w:rsidRPr="00065189" w:rsidRDefault="00AF27D7" w:rsidP="00655642">
      <w:pPr>
        <w:pStyle w:val="Header"/>
        <w:spacing w:line="276" w:lineRule="auto"/>
        <w:jc w:val="both"/>
        <w:rPr>
          <w:rFonts w:cs="Arial"/>
          <w:szCs w:val="20"/>
          <w:lang w:val="en-GB"/>
        </w:rPr>
      </w:pPr>
      <w:r w:rsidRPr="00065189">
        <w:rPr>
          <w:rFonts w:cs="Arial"/>
          <w:bCs/>
          <w:szCs w:val="20"/>
          <w:lang w:val="en-GB"/>
        </w:rPr>
        <w:t>Investments in fixed assets</w:t>
      </w:r>
      <w:r w:rsidRPr="00065189">
        <w:rPr>
          <w:rFonts w:cs="Arial"/>
          <w:szCs w:val="20"/>
          <w:lang w:val="en-GB"/>
        </w:rPr>
        <w:t xml:space="preserve"> (tangible and</w:t>
      </w:r>
      <w:r w:rsidR="004B74C5" w:rsidRPr="00065189">
        <w:rPr>
          <w:rFonts w:cs="Arial"/>
          <w:szCs w:val="20"/>
          <w:lang w:val="en-GB"/>
        </w:rPr>
        <w:t>/or</w:t>
      </w:r>
      <w:r w:rsidRPr="00065189">
        <w:rPr>
          <w:rFonts w:cs="Arial"/>
          <w:szCs w:val="20"/>
          <w:lang w:val="en-GB"/>
        </w:rPr>
        <w:t xml:space="preserve"> intangible assets) are generally financed in accordance with the state aid </w:t>
      </w:r>
      <w:r w:rsidR="00A47B26" w:rsidRPr="00065189">
        <w:rPr>
          <w:rFonts w:cs="Arial"/>
          <w:szCs w:val="20"/>
          <w:lang w:val="en-GB"/>
        </w:rPr>
        <w:t>rules</w:t>
      </w:r>
      <w:r w:rsidRPr="00065189">
        <w:rPr>
          <w:rStyle w:val="FootnoteReference"/>
          <w:rFonts w:cs="Arial"/>
          <w:szCs w:val="20"/>
          <w:lang w:val="en-GB"/>
        </w:rPr>
        <w:footnoteReference w:id="5"/>
      </w:r>
      <w:r w:rsidRPr="00065189">
        <w:rPr>
          <w:rFonts w:cs="Arial"/>
          <w:szCs w:val="20"/>
          <w:lang w:val="en-GB"/>
        </w:rPr>
        <w:t xml:space="preserve">, and financing is possible also in accordance with de minimis aid </w:t>
      </w:r>
      <w:r w:rsidR="00A47B26" w:rsidRPr="00065189">
        <w:rPr>
          <w:rFonts w:cs="Arial"/>
          <w:szCs w:val="20"/>
          <w:lang w:val="en-GB"/>
        </w:rPr>
        <w:t>rules</w:t>
      </w:r>
      <w:r w:rsidRPr="00065189">
        <w:rPr>
          <w:rFonts w:cs="Arial"/>
          <w:szCs w:val="20"/>
          <w:lang w:val="en-GB"/>
        </w:rPr>
        <w:t xml:space="preserve">, whereas investments in working capital can be financed in accordance with de minimis aid </w:t>
      </w:r>
      <w:r w:rsidR="00A47B26" w:rsidRPr="00065189">
        <w:rPr>
          <w:rFonts w:cs="Arial"/>
          <w:szCs w:val="20"/>
          <w:lang w:val="en-GB"/>
        </w:rPr>
        <w:t>rules</w:t>
      </w:r>
      <w:r w:rsidRPr="00065189">
        <w:rPr>
          <w:rFonts w:cs="Arial"/>
          <w:szCs w:val="20"/>
          <w:lang w:val="en-GB"/>
        </w:rPr>
        <w:t xml:space="preserve"> exclusively</w:t>
      </w:r>
      <w:r w:rsidRPr="00065189">
        <w:rPr>
          <w:rStyle w:val="FootnoteReference"/>
          <w:rFonts w:cs="Arial"/>
          <w:szCs w:val="20"/>
          <w:lang w:val="en-GB"/>
        </w:rPr>
        <w:footnoteReference w:id="6"/>
      </w:r>
      <w:r w:rsidR="005164D1" w:rsidRPr="00065189">
        <w:rPr>
          <w:rFonts w:cs="Arial"/>
          <w:szCs w:val="20"/>
          <w:lang w:val="en-GB"/>
        </w:rPr>
        <w:t>.</w:t>
      </w:r>
    </w:p>
    <w:p w14:paraId="7C37B307" w14:textId="294F7412" w:rsidR="00F0675B" w:rsidRPr="00065189" w:rsidRDefault="00A86701" w:rsidP="001A4F54">
      <w:pPr>
        <w:pStyle w:val="HeadingA"/>
        <w:numPr>
          <w:ilvl w:val="1"/>
          <w:numId w:val="4"/>
        </w:numPr>
        <w:spacing w:after="240" w:line="276" w:lineRule="auto"/>
        <w:ind w:left="851" w:hanging="567"/>
        <w:outlineLvl w:val="1"/>
        <w:rPr>
          <w:rFonts w:ascii="Arial" w:hAnsi="Arial" w:cs="Arial"/>
          <w:sz w:val="20"/>
          <w:szCs w:val="20"/>
          <w:lang w:val="en-GB"/>
        </w:rPr>
      </w:pPr>
      <w:bookmarkStart w:id="79" w:name="_Toc534881549"/>
      <w:bookmarkStart w:id="80" w:name="_Toc137558541"/>
      <w:r w:rsidRPr="00065189">
        <w:rPr>
          <w:rFonts w:ascii="Arial" w:hAnsi="Arial" w:cs="Arial"/>
          <w:sz w:val="20"/>
          <w:szCs w:val="20"/>
          <w:lang w:val="en-GB"/>
        </w:rPr>
        <w:t>State Aid and Promotional Effect</w:t>
      </w:r>
      <w:r w:rsidR="000D4163" w:rsidRPr="00065189">
        <w:rPr>
          <w:rStyle w:val="FootnoteReference"/>
          <w:rFonts w:ascii="Arial" w:hAnsi="Arial" w:cs="Arial"/>
          <w:bCs/>
          <w:sz w:val="20"/>
          <w:szCs w:val="20"/>
          <w:lang w:val="en-GB"/>
        </w:rPr>
        <w:footnoteReference w:id="7"/>
      </w:r>
      <w:bookmarkEnd w:id="79"/>
      <w:bookmarkEnd w:id="80"/>
    </w:p>
    <w:p w14:paraId="40CDFE53" w14:textId="48C8685C" w:rsidR="00E46A8F" w:rsidRPr="00065189" w:rsidRDefault="00E46A8F" w:rsidP="00EC7AAA">
      <w:pPr>
        <w:pStyle w:val="Header"/>
        <w:spacing w:after="240" w:line="276" w:lineRule="auto"/>
        <w:jc w:val="both"/>
        <w:rPr>
          <w:rFonts w:cs="Arial"/>
          <w:szCs w:val="20"/>
          <w:lang w:val="en-GB"/>
        </w:rPr>
      </w:pPr>
      <w:r w:rsidRPr="00065189">
        <w:rPr>
          <w:rFonts w:cs="Arial"/>
          <w:szCs w:val="20"/>
          <w:lang w:val="en-GB"/>
        </w:rPr>
        <w:t xml:space="preserve">Lending under the state aid regime is possible in cases where aid has a promotional effect, which means that </w:t>
      </w:r>
      <w:bookmarkStart w:id="81" w:name="_Hlk137198439"/>
      <w:r w:rsidRPr="00065189">
        <w:rPr>
          <w:rFonts w:cs="Arial"/>
          <w:szCs w:val="20"/>
          <w:lang w:val="en-GB"/>
        </w:rPr>
        <w:t>the borrower (the aid beneficiary</w:t>
      </w:r>
      <w:bookmarkEnd w:id="81"/>
      <w:r w:rsidRPr="00065189">
        <w:rPr>
          <w:rFonts w:cs="Arial"/>
          <w:szCs w:val="20"/>
          <w:lang w:val="en-GB"/>
        </w:rPr>
        <w:t xml:space="preserve">) has to submit a </w:t>
      </w:r>
      <w:r w:rsidRPr="00065189">
        <w:rPr>
          <w:rFonts w:cs="Arial"/>
          <w:b/>
          <w:bCs/>
          <w:szCs w:val="20"/>
          <w:lang w:val="en-GB"/>
        </w:rPr>
        <w:t>written application for aid</w:t>
      </w:r>
      <w:r w:rsidRPr="00065189">
        <w:rPr>
          <w:rFonts w:cs="Arial"/>
          <w:szCs w:val="20"/>
          <w:lang w:val="en-GB"/>
        </w:rPr>
        <w:t xml:space="preserve"> contained in HBOR’s loan prior to the start of works</w:t>
      </w:r>
      <w:r w:rsidRPr="00065189">
        <w:rPr>
          <w:rFonts w:cs="Arial"/>
          <w:szCs w:val="20"/>
          <w:vertAlign w:val="superscript"/>
          <w:lang w:val="en-GB"/>
        </w:rPr>
        <w:footnoteReference w:id="8"/>
      </w:r>
      <w:r w:rsidRPr="00065189">
        <w:rPr>
          <w:rFonts w:cs="Arial"/>
          <w:szCs w:val="20"/>
          <w:lang w:val="en-GB"/>
        </w:rPr>
        <w:t xml:space="preserve"> on the project. </w:t>
      </w:r>
    </w:p>
    <w:p w14:paraId="39A27A0A" w14:textId="192FD5E4" w:rsidR="00E46A8F" w:rsidRPr="00065189" w:rsidRDefault="00E46A8F" w:rsidP="006878D4">
      <w:pPr>
        <w:pStyle w:val="Header"/>
        <w:spacing w:before="240" w:after="240" w:line="276" w:lineRule="auto"/>
        <w:jc w:val="both"/>
        <w:rPr>
          <w:rFonts w:cs="Arial"/>
          <w:bCs/>
          <w:iCs/>
          <w:szCs w:val="20"/>
          <w:lang w:val="en-GB"/>
        </w:rPr>
      </w:pPr>
      <w:r w:rsidRPr="00065189">
        <w:rPr>
          <w:rFonts w:cs="Arial"/>
          <w:bCs/>
          <w:szCs w:val="20"/>
          <w:lang w:val="en-GB"/>
        </w:rPr>
        <w:lastRenderedPageBreak/>
        <w:t>Only the costs arising after the submission of a written application for aid can be recognised as justified costs of a planned project</w:t>
      </w:r>
      <w:r w:rsidRPr="00065189">
        <w:rPr>
          <w:rFonts w:cs="Arial"/>
          <w:bCs/>
          <w:iCs/>
          <w:szCs w:val="20"/>
          <w:lang w:val="en-GB"/>
        </w:rPr>
        <w:t>.</w:t>
      </w:r>
      <w:r w:rsidR="00460593" w:rsidRPr="00065189">
        <w:rPr>
          <w:rFonts w:cs="Arial"/>
          <w:bCs/>
          <w:iCs/>
          <w:szCs w:val="20"/>
          <w:lang w:val="en-GB"/>
        </w:rPr>
        <w:t xml:space="preserve"> In the case of direct lending</w:t>
      </w:r>
      <w:r w:rsidR="0063483C" w:rsidRPr="00065189">
        <w:rPr>
          <w:rFonts w:cs="Arial"/>
          <w:bCs/>
          <w:iCs/>
          <w:szCs w:val="20"/>
          <w:lang w:val="en-GB"/>
        </w:rPr>
        <w:t>, the application is submitted to HBOR, and in</w:t>
      </w:r>
      <w:r w:rsidR="00766DB3" w:rsidRPr="00065189">
        <w:rPr>
          <w:rFonts w:cs="Arial"/>
          <w:bCs/>
          <w:iCs/>
          <w:szCs w:val="20"/>
          <w:lang w:val="en-GB"/>
        </w:rPr>
        <w:t xml:space="preserve"> the</w:t>
      </w:r>
      <w:r w:rsidR="0063483C" w:rsidRPr="00065189">
        <w:rPr>
          <w:rFonts w:cs="Arial"/>
          <w:bCs/>
          <w:iCs/>
          <w:szCs w:val="20"/>
          <w:lang w:val="en-GB"/>
        </w:rPr>
        <w:t xml:space="preserve"> case of loans on-lent in cooperation with financial institutions, the app</w:t>
      </w:r>
      <w:r w:rsidR="00A730B8" w:rsidRPr="00065189">
        <w:rPr>
          <w:rFonts w:cs="Arial"/>
          <w:bCs/>
          <w:iCs/>
          <w:szCs w:val="20"/>
          <w:lang w:val="en-GB"/>
        </w:rPr>
        <w:t>lication is submitted to the financial institution (commercial bank or leasing company).</w:t>
      </w:r>
    </w:p>
    <w:p w14:paraId="14664B43" w14:textId="1B724121" w:rsidR="007E3C81" w:rsidRPr="00065189" w:rsidRDefault="00CF22E6" w:rsidP="006878D4">
      <w:pPr>
        <w:pStyle w:val="Header"/>
        <w:spacing w:before="240" w:after="240" w:line="276" w:lineRule="auto"/>
        <w:jc w:val="both"/>
        <w:rPr>
          <w:rFonts w:cs="Arial"/>
          <w:bCs/>
          <w:iCs/>
          <w:szCs w:val="20"/>
          <w:lang w:val="en-GB"/>
        </w:rPr>
      </w:pPr>
      <w:r w:rsidRPr="00065189">
        <w:rPr>
          <w:rFonts w:cs="Arial"/>
          <w:bCs/>
          <w:iCs/>
          <w:szCs w:val="20"/>
          <w:lang w:val="en-GB"/>
        </w:rPr>
        <w:t>A written application for aid must contain at least the following information</w:t>
      </w:r>
      <w:r w:rsidR="00F76AD0" w:rsidRPr="00065189">
        <w:rPr>
          <w:rFonts w:cs="Arial"/>
          <w:bCs/>
          <w:iCs/>
          <w:szCs w:val="20"/>
          <w:lang w:val="en-GB"/>
        </w:rPr>
        <w:t>:</w:t>
      </w:r>
      <w:r w:rsidR="00700E50" w:rsidRPr="00065189">
        <w:rPr>
          <w:rFonts w:cs="Arial"/>
          <w:bCs/>
          <w:iCs/>
          <w:szCs w:val="20"/>
          <w:lang w:val="en-GB"/>
        </w:rPr>
        <w:t xml:space="preserve"> name and size of borrower (aid beneficiary</w:t>
      </w:r>
      <w:r w:rsidR="007E3C81" w:rsidRPr="00065189">
        <w:rPr>
          <w:rFonts w:cs="Arial"/>
          <w:bCs/>
          <w:iCs/>
          <w:szCs w:val="20"/>
          <w:lang w:val="en-GB"/>
        </w:rPr>
        <w:t>)</w:t>
      </w:r>
      <w:r w:rsidR="0040341B" w:rsidRPr="00065189">
        <w:rPr>
          <w:lang w:val="en-GB"/>
        </w:rPr>
        <w:t xml:space="preserve"> in accordance</w:t>
      </w:r>
      <w:r w:rsidR="00CB0409" w:rsidRPr="00065189">
        <w:rPr>
          <w:lang w:val="en-GB"/>
        </w:rPr>
        <w:t xml:space="preserve"> with t</w:t>
      </w:r>
      <w:r w:rsidR="0040341B" w:rsidRPr="00065189">
        <w:rPr>
          <w:rFonts w:cs="Arial"/>
          <w:bCs/>
          <w:iCs/>
          <w:szCs w:val="20"/>
          <w:lang w:val="en-GB"/>
        </w:rPr>
        <w:t>he Recommendation of the European Commission</w:t>
      </w:r>
      <w:r w:rsidR="00DB3272" w:rsidRPr="00065189">
        <w:rPr>
          <w:rFonts w:cs="Arial"/>
          <w:bCs/>
          <w:iCs/>
          <w:szCs w:val="20"/>
          <w:lang w:val="en-GB"/>
        </w:rPr>
        <w:t>; description of project</w:t>
      </w:r>
      <w:r w:rsidR="00DA28A4" w:rsidRPr="00065189">
        <w:rPr>
          <w:rFonts w:cs="Arial"/>
          <w:bCs/>
          <w:iCs/>
          <w:szCs w:val="20"/>
          <w:lang w:val="en-GB"/>
        </w:rPr>
        <w:t xml:space="preserve">, </w:t>
      </w:r>
      <w:r w:rsidR="004009F0" w:rsidRPr="00065189">
        <w:rPr>
          <w:rFonts w:cs="Arial"/>
          <w:bCs/>
          <w:iCs/>
          <w:szCs w:val="20"/>
          <w:lang w:val="en-GB"/>
        </w:rPr>
        <w:t xml:space="preserve">its start and completion </w:t>
      </w:r>
      <w:r w:rsidR="00DA28A4" w:rsidRPr="00065189">
        <w:rPr>
          <w:rFonts w:cs="Arial"/>
          <w:bCs/>
          <w:iCs/>
          <w:szCs w:val="20"/>
          <w:lang w:val="en-GB"/>
        </w:rPr>
        <w:t>dates included;</w:t>
      </w:r>
      <w:r w:rsidR="003B39D4" w:rsidRPr="00065189">
        <w:rPr>
          <w:rFonts w:cs="Arial"/>
          <w:bCs/>
          <w:iCs/>
          <w:szCs w:val="20"/>
          <w:lang w:val="en-GB"/>
        </w:rPr>
        <w:t xml:space="preserve"> site of project; list of project costs</w:t>
      </w:r>
      <w:r w:rsidR="00F83D4F" w:rsidRPr="00065189">
        <w:rPr>
          <w:rFonts w:cs="Arial"/>
          <w:bCs/>
          <w:iCs/>
          <w:szCs w:val="20"/>
          <w:lang w:val="en-GB"/>
        </w:rPr>
        <w:t>; amount of finance required for project</w:t>
      </w:r>
      <w:r w:rsidR="00040B26" w:rsidRPr="00065189">
        <w:rPr>
          <w:rFonts w:cs="Arial"/>
          <w:bCs/>
          <w:iCs/>
          <w:szCs w:val="20"/>
          <w:lang w:val="en-GB"/>
        </w:rPr>
        <w:t>.</w:t>
      </w:r>
      <w:r w:rsidR="00DA28A4" w:rsidRPr="00065189">
        <w:rPr>
          <w:rFonts w:cs="Arial"/>
          <w:bCs/>
          <w:iCs/>
          <w:szCs w:val="20"/>
          <w:lang w:val="en-GB"/>
        </w:rPr>
        <w:t xml:space="preserve"> </w:t>
      </w:r>
      <w:r w:rsidR="00DB3272" w:rsidRPr="00065189">
        <w:rPr>
          <w:rFonts w:cs="Arial"/>
          <w:bCs/>
          <w:iCs/>
          <w:szCs w:val="20"/>
          <w:lang w:val="en-GB"/>
        </w:rPr>
        <w:t xml:space="preserve"> </w:t>
      </w:r>
    </w:p>
    <w:p w14:paraId="48B0EF57" w14:textId="470F02EC" w:rsidR="00E46A8F" w:rsidRPr="00065189" w:rsidRDefault="00E46A8F" w:rsidP="00E46A8F">
      <w:pPr>
        <w:tabs>
          <w:tab w:val="center" w:pos="4703"/>
          <w:tab w:val="right" w:pos="9406"/>
        </w:tabs>
        <w:spacing w:line="276" w:lineRule="auto"/>
        <w:jc w:val="both"/>
        <w:rPr>
          <w:rFonts w:cs="Arial"/>
          <w:szCs w:val="20"/>
          <w:lang w:val="en-GB"/>
        </w:rPr>
      </w:pPr>
      <w:r w:rsidRPr="00065189">
        <w:rPr>
          <w:rFonts w:cs="Arial"/>
          <w:szCs w:val="20"/>
          <w:lang w:val="en-GB"/>
        </w:rPr>
        <w:t xml:space="preserve">In the case of direct lending, </w:t>
      </w:r>
      <w:r w:rsidR="00040B26" w:rsidRPr="00065189">
        <w:rPr>
          <w:rFonts w:cs="Arial"/>
          <w:b/>
          <w:iCs/>
          <w:szCs w:val="20"/>
          <w:lang w:val="en-GB"/>
        </w:rPr>
        <w:t xml:space="preserve">announcement </w:t>
      </w:r>
      <w:r w:rsidR="007E3B50" w:rsidRPr="00065189">
        <w:rPr>
          <w:rFonts w:cs="Arial"/>
          <w:b/>
          <w:iCs/>
          <w:szCs w:val="20"/>
          <w:lang w:val="en-GB"/>
        </w:rPr>
        <w:t xml:space="preserve">of </w:t>
      </w:r>
      <w:r w:rsidRPr="00065189">
        <w:rPr>
          <w:rFonts w:cs="Arial"/>
          <w:b/>
          <w:iCs/>
          <w:szCs w:val="20"/>
          <w:lang w:val="en-GB"/>
        </w:rPr>
        <w:t>investment</w:t>
      </w:r>
      <w:r w:rsidRPr="00065189">
        <w:rPr>
          <w:rFonts w:cs="Arial"/>
          <w:b/>
          <w:iCs/>
          <w:szCs w:val="20"/>
          <w:vertAlign w:val="superscript"/>
          <w:lang w:val="en-GB"/>
        </w:rPr>
        <w:footnoteReference w:id="9"/>
      </w:r>
      <w:r w:rsidRPr="00065189">
        <w:rPr>
          <w:rFonts w:cs="Arial"/>
          <w:i/>
          <w:iCs/>
          <w:szCs w:val="20"/>
          <w:lang w:val="en-GB"/>
        </w:rPr>
        <w:t xml:space="preserve"> </w:t>
      </w:r>
      <w:r w:rsidRPr="00065189">
        <w:rPr>
          <w:rFonts w:cs="Arial"/>
          <w:szCs w:val="20"/>
          <w:lang w:val="en-GB"/>
        </w:rPr>
        <w:t xml:space="preserve">submitted to HBOR </w:t>
      </w:r>
      <w:r w:rsidR="002E23D1" w:rsidRPr="00065189">
        <w:rPr>
          <w:rFonts w:cs="Arial"/>
          <w:szCs w:val="20"/>
          <w:lang w:val="en-GB"/>
        </w:rPr>
        <w:t xml:space="preserve">during </w:t>
      </w:r>
      <w:r w:rsidRPr="00065189">
        <w:rPr>
          <w:rFonts w:cs="Arial"/>
          <w:szCs w:val="20"/>
          <w:lang w:val="en-GB"/>
        </w:rPr>
        <w:t>the period of up to 6 (six) months before the submission of a loan application is considered to be a written application for aid.</w:t>
      </w:r>
    </w:p>
    <w:p w14:paraId="46DAB027" w14:textId="0C1A227E" w:rsidR="00E46A8F" w:rsidRPr="00065189" w:rsidRDefault="00E46A8F" w:rsidP="006878D4">
      <w:pPr>
        <w:pStyle w:val="Header"/>
        <w:tabs>
          <w:tab w:val="clear" w:pos="4536"/>
          <w:tab w:val="clear" w:pos="9072"/>
          <w:tab w:val="center" w:pos="4703"/>
          <w:tab w:val="right" w:pos="9406"/>
        </w:tabs>
        <w:spacing w:before="240" w:line="276" w:lineRule="auto"/>
        <w:jc w:val="both"/>
        <w:rPr>
          <w:rFonts w:cs="Arial"/>
          <w:szCs w:val="20"/>
          <w:lang w:val="en-GB"/>
        </w:rPr>
      </w:pPr>
      <w:r w:rsidRPr="00065189">
        <w:rPr>
          <w:rFonts w:cs="Arial"/>
          <w:szCs w:val="20"/>
          <w:lang w:val="en-GB"/>
        </w:rPr>
        <w:t>If more than 6 (six) months elapse</w:t>
      </w:r>
      <w:r w:rsidR="000B07E0" w:rsidRPr="00065189">
        <w:rPr>
          <w:rFonts w:cs="Arial"/>
          <w:szCs w:val="20"/>
          <w:lang w:val="en-GB"/>
        </w:rPr>
        <w:t xml:space="preserve"> </w:t>
      </w:r>
      <w:r w:rsidRPr="00065189">
        <w:rPr>
          <w:rFonts w:cs="Arial"/>
          <w:szCs w:val="20"/>
          <w:lang w:val="en-GB"/>
        </w:rPr>
        <w:t>between the submission of investment</w:t>
      </w:r>
      <w:r w:rsidR="006E4459" w:rsidRPr="00065189">
        <w:rPr>
          <w:rFonts w:cs="Arial"/>
          <w:szCs w:val="20"/>
          <w:lang w:val="en-GB"/>
        </w:rPr>
        <w:t xml:space="preserve"> announcement</w:t>
      </w:r>
      <w:r w:rsidRPr="00065189">
        <w:rPr>
          <w:rFonts w:cs="Arial"/>
          <w:szCs w:val="20"/>
          <w:lang w:val="en-GB"/>
        </w:rPr>
        <w:t xml:space="preserve"> and the submission of loan application</w:t>
      </w:r>
      <w:r w:rsidR="009F54DC" w:rsidRPr="00065189">
        <w:rPr>
          <w:rFonts w:cs="Arial"/>
          <w:szCs w:val="20"/>
          <w:lang w:val="en-GB"/>
        </w:rPr>
        <w:t>,</w:t>
      </w:r>
      <w:r w:rsidRPr="00065189">
        <w:rPr>
          <w:rFonts w:cs="Arial"/>
          <w:szCs w:val="20"/>
          <w:lang w:val="en-GB"/>
        </w:rPr>
        <w:t xml:space="preserve"> or if investment </w:t>
      </w:r>
      <w:r w:rsidR="009F54DC" w:rsidRPr="00065189">
        <w:rPr>
          <w:rFonts w:cs="Arial"/>
          <w:szCs w:val="20"/>
          <w:lang w:val="en-GB"/>
        </w:rPr>
        <w:t>announcement i</w:t>
      </w:r>
      <w:r w:rsidRPr="00065189">
        <w:rPr>
          <w:rFonts w:cs="Arial"/>
          <w:szCs w:val="20"/>
          <w:lang w:val="en-GB"/>
        </w:rPr>
        <w:t xml:space="preserve">s not </w:t>
      </w:r>
      <w:r w:rsidR="009F54DC" w:rsidRPr="00065189">
        <w:rPr>
          <w:rFonts w:cs="Arial"/>
          <w:szCs w:val="20"/>
          <w:lang w:val="en-GB"/>
        </w:rPr>
        <w:t>s</w:t>
      </w:r>
      <w:r w:rsidRPr="00065189">
        <w:rPr>
          <w:rFonts w:cs="Arial"/>
          <w:szCs w:val="20"/>
          <w:lang w:val="en-GB"/>
        </w:rPr>
        <w:t xml:space="preserve">ubmitted at all, </w:t>
      </w:r>
      <w:r w:rsidR="00DC37E6" w:rsidRPr="00065189">
        <w:rPr>
          <w:rFonts w:cs="Arial"/>
          <w:szCs w:val="20"/>
          <w:lang w:val="en-GB"/>
        </w:rPr>
        <w:t>an</w:t>
      </w:r>
      <w:r w:rsidRPr="00065189">
        <w:rPr>
          <w:rFonts w:cs="Arial"/>
          <w:b/>
          <w:iCs/>
          <w:szCs w:val="20"/>
          <w:lang w:val="en-GB"/>
        </w:rPr>
        <w:t xml:space="preserve"> application</w:t>
      </w:r>
      <w:r w:rsidR="00DC37E6" w:rsidRPr="00065189">
        <w:rPr>
          <w:rFonts w:cs="Arial"/>
          <w:b/>
          <w:iCs/>
          <w:szCs w:val="20"/>
          <w:lang w:val="en-GB"/>
        </w:rPr>
        <w:t xml:space="preserve"> for a loan</w:t>
      </w:r>
      <w:r w:rsidRPr="00065189">
        <w:rPr>
          <w:rFonts w:cs="Arial"/>
          <w:i/>
          <w:iCs/>
          <w:szCs w:val="20"/>
          <w:lang w:val="en-GB"/>
        </w:rPr>
        <w:t xml:space="preserve"> </w:t>
      </w:r>
      <w:r w:rsidRPr="00065189">
        <w:rPr>
          <w:rFonts w:cs="Arial"/>
          <w:szCs w:val="20"/>
          <w:lang w:val="en-GB"/>
        </w:rPr>
        <w:t>accompanied by documentation required for the application processing shall be considered a written application for aid.</w:t>
      </w:r>
    </w:p>
    <w:p w14:paraId="4EA48FF3" w14:textId="22EA5A4B" w:rsidR="00E46A8F" w:rsidRPr="00065189" w:rsidRDefault="00E46A8F" w:rsidP="00B55D33">
      <w:pPr>
        <w:pStyle w:val="Header"/>
        <w:tabs>
          <w:tab w:val="clear" w:pos="4536"/>
          <w:tab w:val="clear" w:pos="9072"/>
          <w:tab w:val="center" w:pos="4703"/>
          <w:tab w:val="right" w:pos="9406"/>
        </w:tabs>
        <w:spacing w:before="240" w:after="240" w:line="276" w:lineRule="auto"/>
        <w:jc w:val="both"/>
        <w:rPr>
          <w:rFonts w:cs="Arial"/>
          <w:szCs w:val="20"/>
          <w:lang w:val="en-GB"/>
        </w:rPr>
      </w:pPr>
      <w:r w:rsidRPr="00065189">
        <w:rPr>
          <w:rFonts w:cs="Arial"/>
          <w:szCs w:val="20"/>
          <w:lang w:val="en-GB"/>
        </w:rPr>
        <w:t>In the case of lending in cooperation with</w:t>
      </w:r>
      <w:r w:rsidR="00276FDA" w:rsidRPr="00065189">
        <w:rPr>
          <w:rFonts w:cs="Arial"/>
          <w:szCs w:val="20"/>
          <w:lang w:val="en-GB"/>
        </w:rPr>
        <w:t xml:space="preserve"> financial institutions</w:t>
      </w:r>
      <w:r w:rsidRPr="00065189">
        <w:rPr>
          <w:rFonts w:cs="Arial"/>
          <w:szCs w:val="20"/>
          <w:lang w:val="en-GB"/>
        </w:rPr>
        <w:t xml:space="preserve">, </w:t>
      </w:r>
      <w:r w:rsidR="00974220" w:rsidRPr="00065189">
        <w:rPr>
          <w:rFonts w:cs="Arial"/>
          <w:szCs w:val="20"/>
          <w:lang w:val="en-GB"/>
        </w:rPr>
        <w:t>an</w:t>
      </w:r>
      <w:r w:rsidRPr="00065189">
        <w:rPr>
          <w:rFonts w:cs="Arial"/>
          <w:szCs w:val="20"/>
          <w:lang w:val="en-GB"/>
        </w:rPr>
        <w:t xml:space="preserve"> </w:t>
      </w:r>
      <w:r w:rsidRPr="00065189">
        <w:rPr>
          <w:rFonts w:cs="Arial"/>
          <w:b/>
          <w:iCs/>
          <w:szCs w:val="20"/>
          <w:lang w:val="en-GB"/>
        </w:rPr>
        <w:t xml:space="preserve">application for a </w:t>
      </w:r>
      <w:r w:rsidR="008E5E50" w:rsidRPr="00065189">
        <w:rPr>
          <w:rFonts w:cs="Arial"/>
          <w:b/>
          <w:iCs/>
          <w:szCs w:val="20"/>
          <w:lang w:val="en-GB"/>
        </w:rPr>
        <w:t xml:space="preserve">placement </w:t>
      </w:r>
      <w:r w:rsidRPr="00065189">
        <w:rPr>
          <w:rFonts w:cs="Arial"/>
          <w:b/>
          <w:iCs/>
          <w:szCs w:val="20"/>
          <w:lang w:val="en-GB"/>
        </w:rPr>
        <w:t>o</w:t>
      </w:r>
      <w:r w:rsidR="008E5E50" w:rsidRPr="00065189">
        <w:rPr>
          <w:rFonts w:cs="Arial"/>
          <w:b/>
          <w:iCs/>
          <w:szCs w:val="20"/>
          <w:lang w:val="en-GB"/>
        </w:rPr>
        <w:t>f final borrower</w:t>
      </w:r>
      <w:r w:rsidRPr="00065189">
        <w:rPr>
          <w:rFonts w:cs="Arial"/>
          <w:iCs/>
          <w:szCs w:val="20"/>
          <w:lang w:val="en-GB"/>
        </w:rPr>
        <w:t xml:space="preserve"> </w:t>
      </w:r>
      <w:r w:rsidRPr="00065189">
        <w:rPr>
          <w:rFonts w:cs="Arial"/>
          <w:szCs w:val="20"/>
          <w:lang w:val="en-GB"/>
        </w:rPr>
        <w:t xml:space="preserve">accompanied by documentation required for the </w:t>
      </w:r>
      <w:r w:rsidR="00F67F2B" w:rsidRPr="00065189">
        <w:rPr>
          <w:rFonts w:cs="Arial"/>
          <w:szCs w:val="20"/>
          <w:lang w:val="en-GB"/>
        </w:rPr>
        <w:t xml:space="preserve">application </w:t>
      </w:r>
      <w:r w:rsidRPr="00065189">
        <w:rPr>
          <w:rFonts w:cs="Arial"/>
          <w:szCs w:val="20"/>
          <w:lang w:val="en-GB"/>
        </w:rPr>
        <w:t xml:space="preserve">processing in accordance with the </w:t>
      </w:r>
      <w:r w:rsidR="00F67F2B" w:rsidRPr="00065189">
        <w:rPr>
          <w:rFonts w:cs="Arial"/>
          <w:szCs w:val="20"/>
          <w:lang w:val="en-GB"/>
        </w:rPr>
        <w:t>financial institution</w:t>
      </w:r>
      <w:r w:rsidRPr="00065189">
        <w:rPr>
          <w:rFonts w:cs="Arial"/>
          <w:szCs w:val="20"/>
          <w:lang w:val="en-GB"/>
        </w:rPr>
        <w:t>’s rules</w:t>
      </w:r>
      <w:r w:rsidR="005D08C4" w:rsidRPr="00065189">
        <w:rPr>
          <w:rFonts w:cs="Arial"/>
          <w:szCs w:val="20"/>
          <w:lang w:val="en-GB"/>
        </w:rPr>
        <w:t xml:space="preserve"> (</w:t>
      </w:r>
      <w:r w:rsidR="00B22408" w:rsidRPr="00065189">
        <w:rPr>
          <w:rFonts w:cs="Arial"/>
          <w:szCs w:val="20"/>
          <w:lang w:val="en-GB"/>
        </w:rPr>
        <w:t xml:space="preserve">considering the </w:t>
      </w:r>
      <w:r w:rsidR="00C14DCB" w:rsidRPr="00065189">
        <w:rPr>
          <w:rFonts w:cs="Arial"/>
          <w:szCs w:val="20"/>
          <w:lang w:val="en-GB"/>
        </w:rPr>
        <w:t xml:space="preserve">minimum </w:t>
      </w:r>
      <w:r w:rsidR="002006B8" w:rsidRPr="00065189">
        <w:rPr>
          <w:rFonts w:cs="Arial"/>
          <w:szCs w:val="20"/>
          <w:lang w:val="en-GB"/>
        </w:rPr>
        <w:t>content</w:t>
      </w:r>
      <w:r w:rsidR="008C5EBF" w:rsidRPr="00065189">
        <w:rPr>
          <w:rFonts w:cs="Arial"/>
          <w:szCs w:val="20"/>
          <w:lang w:val="en-GB"/>
        </w:rPr>
        <w:t xml:space="preserve"> requirement</w:t>
      </w:r>
      <w:r w:rsidR="00D83706" w:rsidRPr="00065189">
        <w:rPr>
          <w:rFonts w:cs="Arial"/>
          <w:szCs w:val="20"/>
          <w:lang w:val="en-GB"/>
        </w:rPr>
        <w:t>s for</w:t>
      </w:r>
      <w:r w:rsidR="002006B8" w:rsidRPr="00065189">
        <w:rPr>
          <w:rFonts w:cs="Arial"/>
          <w:szCs w:val="20"/>
          <w:lang w:val="en-GB"/>
        </w:rPr>
        <w:t xml:space="preserve"> a</w:t>
      </w:r>
      <w:r w:rsidR="00D83706" w:rsidRPr="00065189">
        <w:rPr>
          <w:rFonts w:cs="Arial"/>
          <w:szCs w:val="20"/>
          <w:lang w:val="en-GB"/>
        </w:rPr>
        <w:t xml:space="preserve"> written aid</w:t>
      </w:r>
      <w:r w:rsidR="002006B8" w:rsidRPr="00065189">
        <w:rPr>
          <w:rFonts w:cs="Arial"/>
          <w:szCs w:val="20"/>
          <w:lang w:val="en-GB"/>
        </w:rPr>
        <w:t xml:space="preserve"> application</w:t>
      </w:r>
      <w:r w:rsidR="007848EE" w:rsidRPr="00065189">
        <w:rPr>
          <w:rFonts w:cs="Arial"/>
          <w:szCs w:val="20"/>
          <w:lang w:val="en-GB"/>
        </w:rPr>
        <w:t>)</w:t>
      </w:r>
      <w:r w:rsidRPr="00065189">
        <w:rPr>
          <w:rFonts w:cs="Arial"/>
          <w:szCs w:val="20"/>
          <w:lang w:val="en-GB"/>
        </w:rPr>
        <w:t xml:space="preserve">, submitted to the </w:t>
      </w:r>
      <w:r w:rsidR="007848EE" w:rsidRPr="00065189">
        <w:rPr>
          <w:rFonts w:cs="Arial"/>
          <w:szCs w:val="20"/>
          <w:lang w:val="en-GB"/>
        </w:rPr>
        <w:t xml:space="preserve">financial institution during </w:t>
      </w:r>
      <w:r w:rsidRPr="00065189">
        <w:rPr>
          <w:rFonts w:cs="Arial"/>
          <w:szCs w:val="20"/>
          <w:lang w:val="en-GB"/>
        </w:rPr>
        <w:t xml:space="preserve">the period of not more than 6 (six) months before the </w:t>
      </w:r>
      <w:r w:rsidR="00D61769" w:rsidRPr="00065189">
        <w:rPr>
          <w:rFonts w:cs="Arial"/>
          <w:szCs w:val="20"/>
          <w:lang w:val="en-GB"/>
        </w:rPr>
        <w:t xml:space="preserve">financial institution </w:t>
      </w:r>
      <w:r w:rsidRPr="00065189">
        <w:rPr>
          <w:rFonts w:cs="Arial"/>
          <w:szCs w:val="20"/>
          <w:lang w:val="en-GB"/>
        </w:rPr>
        <w:t>submits the application</w:t>
      </w:r>
      <w:r w:rsidR="00032A2A" w:rsidRPr="00065189">
        <w:rPr>
          <w:rFonts w:cs="Arial"/>
          <w:szCs w:val="20"/>
          <w:lang w:val="en-GB"/>
        </w:rPr>
        <w:t xml:space="preserve"> relating to the respective final borrower </w:t>
      </w:r>
      <w:r w:rsidRPr="00065189">
        <w:rPr>
          <w:rFonts w:cs="Arial"/>
          <w:szCs w:val="20"/>
          <w:lang w:val="en-GB"/>
        </w:rPr>
        <w:t>to HBOR is considered to be a written application for aid.</w:t>
      </w:r>
    </w:p>
    <w:p w14:paraId="2A1D5754" w14:textId="40AF2E56" w:rsidR="001D7FCF" w:rsidRPr="00065189" w:rsidRDefault="00E46A8F" w:rsidP="00CB4A6B">
      <w:pPr>
        <w:pStyle w:val="Header"/>
        <w:tabs>
          <w:tab w:val="clear" w:pos="4536"/>
          <w:tab w:val="clear" w:pos="9072"/>
          <w:tab w:val="center" w:pos="4703"/>
          <w:tab w:val="right" w:pos="9406"/>
        </w:tabs>
        <w:spacing w:line="276" w:lineRule="auto"/>
        <w:jc w:val="both"/>
        <w:rPr>
          <w:rFonts w:cs="Arial"/>
          <w:szCs w:val="20"/>
          <w:lang w:val="en-GB"/>
        </w:rPr>
      </w:pPr>
      <w:r w:rsidRPr="00065189">
        <w:rPr>
          <w:rFonts w:cs="Arial"/>
          <w:szCs w:val="20"/>
          <w:lang w:val="en-GB"/>
        </w:rPr>
        <w:t>If more than 6 (six) months elapse</w:t>
      </w:r>
      <w:r w:rsidR="0068532E" w:rsidRPr="00065189">
        <w:rPr>
          <w:rFonts w:cs="Arial"/>
          <w:szCs w:val="20"/>
          <w:lang w:val="en-GB"/>
        </w:rPr>
        <w:t xml:space="preserve"> </w:t>
      </w:r>
      <w:r w:rsidRPr="00065189">
        <w:rPr>
          <w:rFonts w:cs="Arial"/>
          <w:szCs w:val="20"/>
          <w:lang w:val="en-GB"/>
        </w:rPr>
        <w:t xml:space="preserve">between the submission of application for a </w:t>
      </w:r>
      <w:r w:rsidR="00057F09" w:rsidRPr="00065189">
        <w:rPr>
          <w:rFonts w:cs="Arial"/>
          <w:szCs w:val="20"/>
          <w:lang w:val="en-GB"/>
        </w:rPr>
        <w:t xml:space="preserve">placement </w:t>
      </w:r>
      <w:r w:rsidR="00920578" w:rsidRPr="00065189">
        <w:rPr>
          <w:rFonts w:cs="Arial"/>
          <w:szCs w:val="20"/>
          <w:lang w:val="en-GB"/>
        </w:rPr>
        <w:t xml:space="preserve">of final borrower </w:t>
      </w:r>
      <w:r w:rsidRPr="00065189">
        <w:rPr>
          <w:rFonts w:cs="Arial"/>
          <w:szCs w:val="20"/>
          <w:lang w:val="en-GB"/>
        </w:rPr>
        <w:t xml:space="preserve">and the submission of application by the </w:t>
      </w:r>
      <w:r w:rsidR="009C6F15" w:rsidRPr="00065189">
        <w:rPr>
          <w:rFonts w:cs="Arial"/>
          <w:szCs w:val="20"/>
          <w:lang w:val="en-GB"/>
        </w:rPr>
        <w:t>financial institution</w:t>
      </w:r>
      <w:r w:rsidR="00A04EF8" w:rsidRPr="00065189">
        <w:rPr>
          <w:rFonts w:cs="Arial"/>
          <w:szCs w:val="20"/>
          <w:lang w:val="en-GB"/>
        </w:rPr>
        <w:t xml:space="preserve"> to HBOR</w:t>
      </w:r>
      <w:r w:rsidR="009C6F15" w:rsidRPr="00065189">
        <w:rPr>
          <w:rFonts w:cs="Arial"/>
          <w:szCs w:val="20"/>
          <w:lang w:val="en-GB"/>
        </w:rPr>
        <w:t xml:space="preserve"> for the respective final borrower</w:t>
      </w:r>
      <w:r w:rsidR="00173078" w:rsidRPr="00065189">
        <w:rPr>
          <w:rFonts w:cs="Arial"/>
          <w:szCs w:val="20"/>
          <w:lang w:val="en-GB"/>
        </w:rPr>
        <w:t>, an</w:t>
      </w:r>
      <w:r w:rsidRPr="00065189">
        <w:rPr>
          <w:rFonts w:cs="Arial"/>
          <w:b/>
          <w:szCs w:val="20"/>
          <w:lang w:val="en-GB"/>
        </w:rPr>
        <w:t xml:space="preserve"> application </w:t>
      </w:r>
      <w:r w:rsidR="00B926C5" w:rsidRPr="00065189">
        <w:rPr>
          <w:rFonts w:cs="Arial"/>
          <w:b/>
          <w:szCs w:val="20"/>
          <w:lang w:val="en-GB"/>
        </w:rPr>
        <w:t xml:space="preserve">of financial institution for the respective final borrower </w:t>
      </w:r>
      <w:r w:rsidRPr="00065189">
        <w:rPr>
          <w:rFonts w:cs="Arial"/>
          <w:szCs w:val="20"/>
          <w:lang w:val="en-GB"/>
        </w:rPr>
        <w:t>shall be considered a written application for aid</w:t>
      </w:r>
      <w:r w:rsidR="007925C2" w:rsidRPr="00065189">
        <w:rPr>
          <w:rFonts w:cs="Arial"/>
          <w:szCs w:val="20"/>
          <w:lang w:val="en-GB"/>
        </w:rPr>
        <w:t>.</w:t>
      </w:r>
    </w:p>
    <w:p w14:paraId="3B3DE411" w14:textId="355D7191" w:rsidR="00F0675B" w:rsidRPr="00065189" w:rsidRDefault="00CB4A6B" w:rsidP="001A4F54">
      <w:pPr>
        <w:pStyle w:val="HeadingA"/>
        <w:numPr>
          <w:ilvl w:val="1"/>
          <w:numId w:val="4"/>
        </w:numPr>
        <w:spacing w:after="240" w:line="276" w:lineRule="auto"/>
        <w:ind w:left="851" w:hanging="567"/>
        <w:outlineLvl w:val="1"/>
        <w:rPr>
          <w:rFonts w:ascii="Arial" w:hAnsi="Arial" w:cs="Arial"/>
          <w:sz w:val="20"/>
          <w:szCs w:val="20"/>
          <w:lang w:val="en-GB"/>
        </w:rPr>
      </w:pPr>
      <w:bookmarkStart w:id="82" w:name="_Toc137558542"/>
      <w:bookmarkStart w:id="83" w:name="_Toc534881550"/>
      <w:r w:rsidRPr="00065189">
        <w:rPr>
          <w:rFonts w:ascii="Arial" w:hAnsi="Arial" w:cs="Arial"/>
          <w:sz w:val="20"/>
          <w:szCs w:val="20"/>
          <w:lang w:val="en-GB"/>
        </w:rPr>
        <w:t>Special Programmes in Terms of the Application of Aid Rules</w:t>
      </w:r>
      <w:bookmarkEnd w:id="82"/>
      <w:r w:rsidRPr="00065189">
        <w:rPr>
          <w:rFonts w:ascii="Arial" w:hAnsi="Arial" w:cs="Arial"/>
          <w:sz w:val="20"/>
          <w:szCs w:val="20"/>
          <w:lang w:val="en-GB"/>
        </w:rPr>
        <w:t xml:space="preserve"> </w:t>
      </w:r>
      <w:bookmarkEnd w:id="83"/>
    </w:p>
    <w:p w14:paraId="197BC14E" w14:textId="77777777" w:rsidR="004C1891" w:rsidRPr="00065189" w:rsidRDefault="004C1891" w:rsidP="004C1891">
      <w:pPr>
        <w:pStyle w:val="HeadingA"/>
        <w:numPr>
          <w:ilvl w:val="0"/>
          <w:numId w:val="0"/>
        </w:numPr>
        <w:spacing w:before="240" w:after="0" w:line="276" w:lineRule="auto"/>
        <w:outlineLvl w:val="2"/>
        <w:rPr>
          <w:rFonts w:ascii="Arial" w:hAnsi="Arial" w:cs="Arial"/>
          <w:color w:val="auto"/>
          <w:sz w:val="20"/>
          <w:szCs w:val="20"/>
          <w:lang w:val="en-GB"/>
        </w:rPr>
      </w:pPr>
      <w:bookmarkStart w:id="84" w:name="_Toc103874803"/>
      <w:bookmarkStart w:id="85" w:name="_Toc137558543"/>
      <w:bookmarkStart w:id="86" w:name="_Toc534881551"/>
      <w:bookmarkStart w:id="87" w:name="_Hlk72075527"/>
      <w:r w:rsidRPr="00065189">
        <w:rPr>
          <w:rFonts w:ascii="Arial" w:hAnsi="Arial" w:cs="Arial"/>
          <w:color w:val="auto"/>
          <w:sz w:val="20"/>
          <w:szCs w:val="20"/>
          <w:lang w:val="en-GB"/>
        </w:rPr>
        <w:t>EU projects</w:t>
      </w:r>
      <w:bookmarkEnd w:id="84"/>
      <w:bookmarkEnd w:id="85"/>
    </w:p>
    <w:p w14:paraId="2396DFB4" w14:textId="005B8BC2" w:rsidR="00AF7425" w:rsidRPr="00065189" w:rsidRDefault="00355DB6" w:rsidP="00D7480D">
      <w:pPr>
        <w:pStyle w:val="Header"/>
        <w:spacing w:after="240" w:line="276" w:lineRule="auto"/>
        <w:jc w:val="both"/>
        <w:rPr>
          <w:rFonts w:cs="Arial"/>
          <w:szCs w:val="20"/>
          <w:lang w:val="en-GB"/>
        </w:rPr>
      </w:pPr>
      <w:r w:rsidRPr="00065189">
        <w:rPr>
          <w:rFonts w:cs="Arial"/>
          <w:szCs w:val="20"/>
          <w:lang w:val="en-GB"/>
        </w:rPr>
        <w:t>Loans for the financing of projects</w:t>
      </w:r>
      <w:r w:rsidR="00A81097" w:rsidRPr="00065189">
        <w:rPr>
          <w:rFonts w:cs="Arial"/>
          <w:szCs w:val="20"/>
          <w:lang w:val="en-GB"/>
        </w:rPr>
        <w:t xml:space="preserve"> nominated </w:t>
      </w:r>
      <w:r w:rsidR="00595F23" w:rsidRPr="00065189">
        <w:rPr>
          <w:rFonts w:cs="Arial"/>
          <w:szCs w:val="20"/>
          <w:lang w:val="en-GB"/>
        </w:rPr>
        <w:t xml:space="preserve">to be </w:t>
      </w:r>
      <w:r w:rsidR="004C1891" w:rsidRPr="00065189">
        <w:rPr>
          <w:rFonts w:cs="Arial"/>
          <w:szCs w:val="20"/>
          <w:lang w:val="en-GB"/>
        </w:rPr>
        <w:t>co-</w:t>
      </w:r>
      <w:r w:rsidR="00281BF8" w:rsidRPr="00065189">
        <w:rPr>
          <w:rFonts w:cs="Arial"/>
          <w:szCs w:val="20"/>
          <w:lang w:val="en-GB"/>
        </w:rPr>
        <w:t xml:space="preserve">funded </w:t>
      </w:r>
      <w:r w:rsidR="000A2409" w:rsidRPr="00065189">
        <w:rPr>
          <w:rFonts w:cs="Arial"/>
          <w:szCs w:val="20"/>
          <w:lang w:val="en-GB"/>
        </w:rPr>
        <w:t>from the</w:t>
      </w:r>
      <w:r w:rsidR="00D03E25" w:rsidRPr="00065189">
        <w:rPr>
          <w:rFonts w:cs="Arial"/>
          <w:szCs w:val="20"/>
          <w:lang w:val="en-GB"/>
        </w:rPr>
        <w:t xml:space="preserve"> </w:t>
      </w:r>
      <w:r w:rsidR="004C1891" w:rsidRPr="00065189">
        <w:rPr>
          <w:rFonts w:cs="Arial"/>
          <w:szCs w:val="20"/>
          <w:lang w:val="en-GB"/>
        </w:rPr>
        <w:t xml:space="preserve">European </w:t>
      </w:r>
      <w:r w:rsidR="000A2409" w:rsidRPr="00065189">
        <w:rPr>
          <w:rFonts w:cs="Arial"/>
          <w:szCs w:val="20"/>
          <w:lang w:val="en-GB"/>
        </w:rPr>
        <w:t>Union budget</w:t>
      </w:r>
      <w:r w:rsidR="002B5937" w:rsidRPr="00065189">
        <w:rPr>
          <w:rFonts w:cs="Arial"/>
          <w:szCs w:val="20"/>
          <w:lang w:val="en-GB"/>
        </w:rPr>
        <w:t xml:space="preserve"> or the EU Funds</w:t>
      </w:r>
      <w:r w:rsidR="00CD6EF6" w:rsidRPr="00065189">
        <w:rPr>
          <w:rFonts w:cs="Arial"/>
          <w:szCs w:val="20"/>
          <w:lang w:val="en-GB"/>
        </w:rPr>
        <w:t xml:space="preserve"> and/or national sources as well as other foreign public sources (hereinafter: </w:t>
      </w:r>
      <w:r w:rsidR="00F903B6" w:rsidRPr="00065189">
        <w:rPr>
          <w:rFonts w:cs="Arial"/>
          <w:szCs w:val="20"/>
          <w:lang w:val="en-GB"/>
        </w:rPr>
        <w:t>the grant) on the basis of an invitation to submit project</w:t>
      </w:r>
      <w:r w:rsidR="00847265" w:rsidRPr="00065189">
        <w:rPr>
          <w:rFonts w:cs="Arial"/>
          <w:szCs w:val="20"/>
          <w:lang w:val="en-GB"/>
        </w:rPr>
        <w:t xml:space="preserve"> bids</w:t>
      </w:r>
      <w:r w:rsidR="00F903B6" w:rsidRPr="00065189">
        <w:rPr>
          <w:rFonts w:cs="Arial"/>
          <w:szCs w:val="20"/>
          <w:lang w:val="en-GB"/>
        </w:rPr>
        <w:t xml:space="preserve"> </w:t>
      </w:r>
      <w:r w:rsidR="0095734D" w:rsidRPr="00065189">
        <w:rPr>
          <w:rFonts w:cs="Arial"/>
          <w:szCs w:val="20"/>
          <w:lang w:val="en-GB"/>
        </w:rPr>
        <w:t>(hereinafter: the</w:t>
      </w:r>
      <w:r w:rsidR="00132153" w:rsidRPr="00065189">
        <w:rPr>
          <w:rFonts w:cs="Arial"/>
          <w:szCs w:val="20"/>
          <w:lang w:val="en-GB"/>
        </w:rPr>
        <w:t xml:space="preserve"> tender)</w:t>
      </w:r>
      <w:r w:rsidR="006E0323" w:rsidRPr="00065189">
        <w:rPr>
          <w:rFonts w:cs="Arial"/>
          <w:szCs w:val="20"/>
          <w:lang w:val="en-GB"/>
        </w:rPr>
        <w:t xml:space="preserve"> are generally approved by HBOR </w:t>
      </w:r>
      <w:r w:rsidR="00A042C5" w:rsidRPr="00065189">
        <w:rPr>
          <w:rFonts w:cs="Arial"/>
          <w:szCs w:val="20"/>
          <w:lang w:val="en-GB"/>
        </w:rPr>
        <w:t xml:space="preserve">at </w:t>
      </w:r>
      <w:r w:rsidR="004C1891" w:rsidRPr="00065189">
        <w:rPr>
          <w:rFonts w:cs="Arial"/>
          <w:szCs w:val="20"/>
          <w:lang w:val="en-GB"/>
        </w:rPr>
        <w:t>general interest rate</w:t>
      </w:r>
      <w:r w:rsidR="00E20E9F" w:rsidRPr="00065189">
        <w:rPr>
          <w:rFonts w:cs="Arial"/>
          <w:szCs w:val="20"/>
          <w:lang w:val="en-GB"/>
        </w:rPr>
        <w:t xml:space="preserve"> (the interest rate that does not contain aid</w:t>
      </w:r>
      <w:r w:rsidR="00AF7425" w:rsidRPr="00065189">
        <w:rPr>
          <w:rFonts w:cs="Arial"/>
          <w:szCs w:val="20"/>
          <w:lang w:val="en-GB"/>
        </w:rPr>
        <w:t>)</w:t>
      </w:r>
      <w:r w:rsidR="004C1891" w:rsidRPr="00065189">
        <w:rPr>
          <w:rFonts w:cs="Arial"/>
          <w:szCs w:val="20"/>
          <w:lang w:val="en-GB"/>
        </w:rPr>
        <w:t>, since</w:t>
      </w:r>
      <w:r w:rsidR="004E7A2C" w:rsidRPr="00065189">
        <w:rPr>
          <w:rFonts w:cs="Arial"/>
          <w:szCs w:val="20"/>
          <w:lang w:val="en-GB"/>
        </w:rPr>
        <w:t xml:space="preserve"> the award of a grant </w:t>
      </w:r>
      <w:r w:rsidR="00BE7A80" w:rsidRPr="00065189">
        <w:rPr>
          <w:rFonts w:cs="Arial"/>
          <w:szCs w:val="20"/>
          <w:lang w:val="en-GB"/>
        </w:rPr>
        <w:t>to a borrower (aid beneficiary)</w:t>
      </w:r>
      <w:r w:rsidR="002D5EB5" w:rsidRPr="00065189">
        <w:rPr>
          <w:rFonts w:cs="Arial"/>
          <w:szCs w:val="20"/>
          <w:lang w:val="en-GB"/>
        </w:rPr>
        <w:t xml:space="preserve"> generally means that </w:t>
      </w:r>
      <w:r w:rsidR="00AD77C7" w:rsidRPr="00065189">
        <w:rPr>
          <w:rFonts w:cs="Arial"/>
          <w:szCs w:val="20"/>
          <w:lang w:val="en-GB"/>
        </w:rPr>
        <w:t xml:space="preserve">the permitted </w:t>
      </w:r>
      <w:r w:rsidR="00DE76B7" w:rsidRPr="00065189">
        <w:rPr>
          <w:rFonts w:cs="Arial"/>
          <w:szCs w:val="20"/>
          <w:lang w:val="en-GB"/>
        </w:rPr>
        <w:t>maximum aid intensity</w:t>
      </w:r>
      <w:r w:rsidR="001A2413" w:rsidRPr="00065189">
        <w:rPr>
          <w:rFonts w:cs="Arial"/>
          <w:szCs w:val="20"/>
          <w:lang w:val="en-GB"/>
        </w:rPr>
        <w:t xml:space="preserve"> is </w:t>
      </w:r>
      <w:r w:rsidR="00B347FE" w:rsidRPr="00065189">
        <w:rPr>
          <w:rFonts w:cs="Arial"/>
          <w:szCs w:val="20"/>
          <w:lang w:val="en-GB"/>
        </w:rPr>
        <w:t>granted</w:t>
      </w:r>
      <w:r w:rsidR="007024CC" w:rsidRPr="00065189">
        <w:rPr>
          <w:rFonts w:cs="Arial"/>
          <w:szCs w:val="20"/>
          <w:lang w:val="en-GB"/>
        </w:rPr>
        <w:t>.</w:t>
      </w:r>
    </w:p>
    <w:p w14:paraId="5779C85B" w14:textId="125B38B7" w:rsidR="004C1891" w:rsidRPr="00065189" w:rsidRDefault="00D7480D" w:rsidP="000709B7">
      <w:pPr>
        <w:pStyle w:val="Header"/>
        <w:spacing w:after="240" w:line="276" w:lineRule="auto"/>
        <w:jc w:val="both"/>
        <w:rPr>
          <w:rFonts w:cs="Arial"/>
          <w:szCs w:val="20"/>
          <w:lang w:val="en-GB"/>
        </w:rPr>
      </w:pPr>
      <w:r w:rsidRPr="00065189">
        <w:rPr>
          <w:rFonts w:cs="Arial"/>
          <w:szCs w:val="20"/>
          <w:lang w:val="en-GB"/>
        </w:rPr>
        <w:t>As an exception, HBOR may</w:t>
      </w:r>
      <w:r w:rsidR="0004028E" w:rsidRPr="00065189">
        <w:rPr>
          <w:rFonts w:cs="Arial"/>
          <w:szCs w:val="20"/>
          <w:lang w:val="en-GB"/>
        </w:rPr>
        <w:t xml:space="preserve"> </w:t>
      </w:r>
      <w:r w:rsidR="004723CC" w:rsidRPr="00065189">
        <w:rPr>
          <w:rFonts w:cs="Arial"/>
          <w:szCs w:val="20"/>
          <w:lang w:val="en-GB"/>
        </w:rPr>
        <w:t xml:space="preserve">approve such a loan at promotional interest rate (the interest rate that </w:t>
      </w:r>
      <w:r w:rsidR="005600B7" w:rsidRPr="00065189">
        <w:rPr>
          <w:rFonts w:cs="Arial"/>
          <w:szCs w:val="20"/>
          <w:lang w:val="en-GB"/>
        </w:rPr>
        <w:t>contai</w:t>
      </w:r>
      <w:r w:rsidR="00641397" w:rsidRPr="00065189">
        <w:rPr>
          <w:rFonts w:cs="Arial"/>
          <w:szCs w:val="20"/>
          <w:lang w:val="en-GB"/>
        </w:rPr>
        <w:t>ns aid) or</w:t>
      </w:r>
      <w:r w:rsidR="009C49AC" w:rsidRPr="00065189">
        <w:rPr>
          <w:rFonts w:cs="Arial"/>
          <w:szCs w:val="20"/>
          <w:lang w:val="en-GB"/>
        </w:rPr>
        <w:t xml:space="preserve"> with </w:t>
      </w:r>
      <w:r w:rsidR="005F7D85" w:rsidRPr="00065189">
        <w:rPr>
          <w:rFonts w:cs="Arial"/>
          <w:szCs w:val="20"/>
          <w:lang w:val="en-GB"/>
        </w:rPr>
        <w:t xml:space="preserve">another form </w:t>
      </w:r>
      <w:r w:rsidR="002E3C45" w:rsidRPr="00065189">
        <w:rPr>
          <w:rFonts w:cs="Arial"/>
          <w:szCs w:val="20"/>
          <w:lang w:val="en-GB"/>
        </w:rPr>
        <w:t xml:space="preserve">of </w:t>
      </w:r>
      <w:r w:rsidR="005F7D85" w:rsidRPr="00065189">
        <w:rPr>
          <w:rFonts w:cs="Arial"/>
          <w:szCs w:val="20"/>
          <w:lang w:val="en-GB"/>
        </w:rPr>
        <w:t>aid</w:t>
      </w:r>
      <w:r w:rsidR="00CF3908" w:rsidRPr="00065189">
        <w:rPr>
          <w:rFonts w:cs="Arial"/>
          <w:szCs w:val="20"/>
          <w:lang w:val="en-GB"/>
        </w:rPr>
        <w:t xml:space="preserve"> (</w:t>
      </w:r>
      <w:r w:rsidR="00067F87" w:rsidRPr="00065189">
        <w:rPr>
          <w:rFonts w:cs="Arial"/>
          <w:szCs w:val="20"/>
          <w:lang w:val="en-GB"/>
        </w:rPr>
        <w:t xml:space="preserve">e.g. fee subsidy, etc.) </w:t>
      </w:r>
      <w:r w:rsidR="00714C43" w:rsidRPr="00065189">
        <w:rPr>
          <w:rFonts w:cs="Arial"/>
          <w:szCs w:val="20"/>
          <w:lang w:val="en-GB"/>
        </w:rPr>
        <w:t xml:space="preserve">if the </w:t>
      </w:r>
      <w:r w:rsidR="00A6637B" w:rsidRPr="00065189">
        <w:rPr>
          <w:rFonts w:cs="Arial"/>
          <w:szCs w:val="20"/>
          <w:lang w:val="en-GB"/>
        </w:rPr>
        <w:t xml:space="preserve">grant </w:t>
      </w:r>
      <w:r w:rsidR="00714C43" w:rsidRPr="00065189">
        <w:rPr>
          <w:rFonts w:cs="Arial"/>
          <w:szCs w:val="20"/>
          <w:lang w:val="en-GB"/>
        </w:rPr>
        <w:t xml:space="preserve">awarded </w:t>
      </w:r>
      <w:r w:rsidR="00A6637B" w:rsidRPr="00065189">
        <w:rPr>
          <w:rFonts w:cs="Arial"/>
          <w:szCs w:val="20"/>
          <w:lang w:val="en-GB"/>
        </w:rPr>
        <w:t>on the basis of a</w:t>
      </w:r>
      <w:r w:rsidR="005E65E7" w:rsidRPr="00065189">
        <w:rPr>
          <w:rFonts w:cs="Arial"/>
          <w:szCs w:val="20"/>
          <w:lang w:val="en-GB"/>
        </w:rPr>
        <w:t xml:space="preserve"> tender</w:t>
      </w:r>
      <w:r w:rsidR="00FD6320" w:rsidRPr="00065189">
        <w:rPr>
          <w:rFonts w:cs="Arial"/>
          <w:szCs w:val="20"/>
          <w:lang w:val="en-GB"/>
        </w:rPr>
        <w:t xml:space="preserve"> does not mean</w:t>
      </w:r>
      <w:r w:rsidR="00196256" w:rsidRPr="00065189">
        <w:rPr>
          <w:rFonts w:cs="Arial"/>
          <w:szCs w:val="20"/>
          <w:lang w:val="en-GB"/>
        </w:rPr>
        <w:t xml:space="preserve"> that </w:t>
      </w:r>
      <w:r w:rsidR="00200D19" w:rsidRPr="00065189">
        <w:rPr>
          <w:rFonts w:cs="Arial"/>
          <w:szCs w:val="20"/>
          <w:lang w:val="en-GB"/>
        </w:rPr>
        <w:t xml:space="preserve">the permitted </w:t>
      </w:r>
      <w:r w:rsidR="00FD6320" w:rsidRPr="00065189">
        <w:rPr>
          <w:rFonts w:cs="Arial"/>
          <w:szCs w:val="20"/>
          <w:lang w:val="en-GB"/>
        </w:rPr>
        <w:t xml:space="preserve">maximum </w:t>
      </w:r>
      <w:r w:rsidR="00200D19" w:rsidRPr="00065189">
        <w:rPr>
          <w:rFonts w:cs="Arial"/>
          <w:szCs w:val="20"/>
          <w:lang w:val="en-GB"/>
        </w:rPr>
        <w:t>a</w:t>
      </w:r>
      <w:r w:rsidR="00FD6320" w:rsidRPr="00065189">
        <w:rPr>
          <w:rFonts w:cs="Arial"/>
          <w:szCs w:val="20"/>
          <w:lang w:val="en-GB"/>
        </w:rPr>
        <w:t>id intensity is granted</w:t>
      </w:r>
      <w:r w:rsidR="00253130" w:rsidRPr="00065189">
        <w:rPr>
          <w:lang w:val="en-GB"/>
        </w:rPr>
        <w:t xml:space="preserve"> to </w:t>
      </w:r>
      <w:r w:rsidR="00253130" w:rsidRPr="00065189">
        <w:rPr>
          <w:rFonts w:cs="Arial"/>
          <w:szCs w:val="20"/>
          <w:lang w:val="en-GB"/>
        </w:rPr>
        <w:t>the aid beneficiary</w:t>
      </w:r>
      <w:r w:rsidR="00925D60" w:rsidRPr="00065189">
        <w:rPr>
          <w:rFonts w:cs="Arial"/>
          <w:szCs w:val="20"/>
          <w:lang w:val="en-GB"/>
        </w:rPr>
        <w:t xml:space="preserve"> and if the</w:t>
      </w:r>
      <w:r w:rsidR="003A1E4F" w:rsidRPr="00065189">
        <w:rPr>
          <w:rFonts w:cs="Arial"/>
          <w:szCs w:val="20"/>
          <w:lang w:val="en-GB"/>
        </w:rPr>
        <w:t xml:space="preserve"> tender does not </w:t>
      </w:r>
      <w:r w:rsidR="00E60FF2" w:rsidRPr="00065189">
        <w:rPr>
          <w:rFonts w:cs="Arial"/>
          <w:szCs w:val="20"/>
          <w:lang w:val="en-GB"/>
        </w:rPr>
        <w:t>prohibit the</w:t>
      </w:r>
      <w:r w:rsidR="009A1465" w:rsidRPr="00065189">
        <w:rPr>
          <w:rFonts w:cs="Arial"/>
          <w:szCs w:val="20"/>
          <w:lang w:val="en-GB"/>
        </w:rPr>
        <w:t xml:space="preserve"> cumulation </w:t>
      </w:r>
      <w:r w:rsidR="003D5915" w:rsidRPr="00065189">
        <w:rPr>
          <w:rFonts w:cs="Arial"/>
          <w:szCs w:val="20"/>
          <w:lang w:val="en-GB"/>
        </w:rPr>
        <w:t xml:space="preserve">or </w:t>
      </w:r>
      <w:r w:rsidR="00E60FF2" w:rsidRPr="00065189">
        <w:rPr>
          <w:rFonts w:cs="Arial"/>
          <w:szCs w:val="20"/>
          <w:lang w:val="en-GB"/>
        </w:rPr>
        <w:t>combining</w:t>
      </w:r>
      <w:r w:rsidR="003D5915" w:rsidRPr="00065189">
        <w:rPr>
          <w:rFonts w:cs="Arial"/>
          <w:szCs w:val="20"/>
          <w:lang w:val="en-GB"/>
        </w:rPr>
        <w:t xml:space="preserve"> of </w:t>
      </w:r>
      <w:r w:rsidR="00853484" w:rsidRPr="00065189">
        <w:rPr>
          <w:rFonts w:cs="Arial"/>
          <w:szCs w:val="20"/>
          <w:lang w:val="en-GB"/>
        </w:rPr>
        <w:t xml:space="preserve">the </w:t>
      </w:r>
      <w:r w:rsidR="003D5915" w:rsidRPr="00065189">
        <w:rPr>
          <w:rFonts w:cs="Arial"/>
          <w:szCs w:val="20"/>
          <w:lang w:val="en-GB"/>
        </w:rPr>
        <w:t xml:space="preserve">aid </w:t>
      </w:r>
      <w:r w:rsidR="0042765F" w:rsidRPr="00065189">
        <w:rPr>
          <w:rFonts w:cs="Arial"/>
          <w:szCs w:val="20"/>
          <w:lang w:val="en-GB"/>
        </w:rPr>
        <w:t>granted</w:t>
      </w:r>
      <w:r w:rsidR="00853484" w:rsidRPr="00065189">
        <w:rPr>
          <w:rFonts w:cs="Arial"/>
          <w:szCs w:val="20"/>
          <w:lang w:val="en-GB"/>
        </w:rPr>
        <w:t xml:space="preserve"> on the basis of a tender with the aid</w:t>
      </w:r>
      <w:r w:rsidR="006A4032" w:rsidRPr="00065189">
        <w:rPr>
          <w:rFonts w:cs="Arial"/>
          <w:szCs w:val="20"/>
          <w:lang w:val="en-GB"/>
        </w:rPr>
        <w:t xml:space="preserve"> granted from other sources</w:t>
      </w:r>
      <w:r w:rsidR="0064761F" w:rsidRPr="00065189">
        <w:rPr>
          <w:rFonts w:cs="Arial"/>
          <w:szCs w:val="20"/>
          <w:lang w:val="en-GB"/>
        </w:rPr>
        <w:t xml:space="preserve"> with respect to the </w:t>
      </w:r>
      <w:r w:rsidR="006A4032" w:rsidRPr="00065189">
        <w:rPr>
          <w:rFonts w:cs="Arial"/>
          <w:szCs w:val="20"/>
          <w:lang w:val="en-GB"/>
        </w:rPr>
        <w:t xml:space="preserve">same </w:t>
      </w:r>
      <w:r w:rsidR="0064761F" w:rsidRPr="00065189">
        <w:rPr>
          <w:rFonts w:cs="Arial"/>
          <w:szCs w:val="20"/>
          <w:lang w:val="en-GB"/>
        </w:rPr>
        <w:t xml:space="preserve">justified </w:t>
      </w:r>
      <w:r w:rsidR="00557932" w:rsidRPr="00065189">
        <w:rPr>
          <w:rFonts w:cs="Arial"/>
          <w:szCs w:val="20"/>
          <w:lang w:val="en-GB"/>
        </w:rPr>
        <w:t xml:space="preserve">(eligible) </w:t>
      </w:r>
      <w:r w:rsidR="0064761F" w:rsidRPr="00065189">
        <w:rPr>
          <w:rFonts w:cs="Arial"/>
          <w:szCs w:val="20"/>
          <w:lang w:val="en-GB"/>
        </w:rPr>
        <w:t>costs</w:t>
      </w:r>
      <w:r w:rsidR="004C1891" w:rsidRPr="00065189">
        <w:rPr>
          <w:rFonts w:cs="Arial"/>
          <w:szCs w:val="20"/>
          <w:lang w:val="en-GB"/>
        </w:rPr>
        <w:t>.</w:t>
      </w:r>
    </w:p>
    <w:p w14:paraId="76081CCD" w14:textId="77777777" w:rsidR="004C1891" w:rsidRPr="00065189" w:rsidRDefault="004C1891" w:rsidP="004C1891">
      <w:pPr>
        <w:pStyle w:val="HeadingA"/>
        <w:numPr>
          <w:ilvl w:val="0"/>
          <w:numId w:val="0"/>
        </w:numPr>
        <w:spacing w:before="240" w:after="0" w:line="276" w:lineRule="auto"/>
        <w:outlineLvl w:val="2"/>
        <w:rPr>
          <w:rFonts w:ascii="Arial" w:hAnsi="Arial" w:cs="Arial"/>
          <w:color w:val="auto"/>
          <w:sz w:val="20"/>
          <w:szCs w:val="20"/>
          <w:lang w:val="en-GB"/>
        </w:rPr>
      </w:pPr>
      <w:bookmarkStart w:id="88" w:name="_Toc103874804"/>
      <w:bookmarkStart w:id="89" w:name="_Toc137558544"/>
      <w:r w:rsidRPr="00065189">
        <w:rPr>
          <w:rFonts w:ascii="Arial" w:hAnsi="Arial" w:cs="Arial"/>
          <w:color w:val="auto"/>
          <w:sz w:val="20"/>
          <w:szCs w:val="20"/>
          <w:lang w:val="en-GB"/>
        </w:rPr>
        <w:t>Public sector investments</w:t>
      </w:r>
      <w:bookmarkEnd w:id="88"/>
      <w:bookmarkEnd w:id="89"/>
      <w:r w:rsidRPr="00065189">
        <w:rPr>
          <w:rFonts w:ascii="Arial" w:hAnsi="Arial" w:cs="Arial"/>
          <w:color w:val="auto"/>
          <w:sz w:val="20"/>
          <w:szCs w:val="20"/>
          <w:lang w:val="en-GB"/>
        </w:rPr>
        <w:t xml:space="preserve"> </w:t>
      </w:r>
    </w:p>
    <w:p w14:paraId="3045EB32" w14:textId="32A50BBF" w:rsidR="004C1891" w:rsidRPr="00065189" w:rsidRDefault="004C1891" w:rsidP="004C1891">
      <w:pPr>
        <w:pStyle w:val="Header"/>
        <w:spacing w:line="276" w:lineRule="auto"/>
        <w:jc w:val="both"/>
        <w:rPr>
          <w:rFonts w:cs="Arial"/>
          <w:szCs w:val="20"/>
          <w:lang w:val="en-GB"/>
        </w:rPr>
      </w:pPr>
      <w:r w:rsidRPr="00065189">
        <w:rPr>
          <w:rFonts w:cs="Arial"/>
          <w:szCs w:val="20"/>
          <w:lang w:val="en-GB"/>
        </w:rPr>
        <w:t xml:space="preserve">In </w:t>
      </w:r>
      <w:r w:rsidR="007F5F35" w:rsidRPr="00065189">
        <w:rPr>
          <w:rFonts w:cs="Arial"/>
          <w:szCs w:val="20"/>
          <w:lang w:val="en-GB"/>
        </w:rPr>
        <w:t xml:space="preserve">the </w:t>
      </w:r>
      <w:r w:rsidRPr="00065189">
        <w:rPr>
          <w:rFonts w:cs="Arial"/>
          <w:szCs w:val="20"/>
          <w:lang w:val="en-GB"/>
        </w:rPr>
        <w:t xml:space="preserve">case of financing infrastructure that is not intended for commercial use, state aid </w:t>
      </w:r>
      <w:r w:rsidR="00A47B26" w:rsidRPr="00065189">
        <w:rPr>
          <w:rFonts w:cs="Arial"/>
          <w:szCs w:val="20"/>
          <w:lang w:val="en-GB"/>
        </w:rPr>
        <w:t>rules</w:t>
      </w:r>
      <w:r w:rsidRPr="00065189">
        <w:rPr>
          <w:rFonts w:cs="Arial"/>
          <w:szCs w:val="20"/>
          <w:lang w:val="en-GB"/>
        </w:rPr>
        <w:t xml:space="preserve"> are generally not applied, i.e. it is allowed to approve a loan at promotional interest rate, regardless of whether the conditions </w:t>
      </w:r>
      <w:r w:rsidR="00A47B26" w:rsidRPr="00065189">
        <w:rPr>
          <w:rFonts w:cs="Arial"/>
          <w:szCs w:val="20"/>
          <w:lang w:val="en-GB"/>
        </w:rPr>
        <w:t>contained in t</w:t>
      </w:r>
      <w:r w:rsidRPr="00065189">
        <w:rPr>
          <w:rFonts w:cs="Arial"/>
          <w:szCs w:val="20"/>
          <w:lang w:val="en-GB"/>
        </w:rPr>
        <w:t xml:space="preserve">he relevant state aid </w:t>
      </w:r>
      <w:r w:rsidR="00A47B26" w:rsidRPr="00065189">
        <w:rPr>
          <w:rFonts w:cs="Arial"/>
          <w:szCs w:val="20"/>
          <w:lang w:val="en-GB"/>
        </w:rPr>
        <w:t>rules</w:t>
      </w:r>
      <w:r w:rsidRPr="00065189">
        <w:rPr>
          <w:rFonts w:cs="Arial"/>
          <w:szCs w:val="20"/>
          <w:lang w:val="en-GB"/>
        </w:rPr>
        <w:t xml:space="preserve"> have been met. This relates, for example, </w:t>
      </w:r>
      <w:r w:rsidRPr="00065189">
        <w:rPr>
          <w:rFonts w:cs="Arial"/>
          <w:szCs w:val="20"/>
          <w:lang w:val="en-GB"/>
        </w:rPr>
        <w:lastRenderedPageBreak/>
        <w:t xml:space="preserve">to general infrastructure such as public roads, bridges </w:t>
      </w:r>
      <w:r w:rsidR="00A47B26" w:rsidRPr="00065189">
        <w:rPr>
          <w:rFonts w:cs="Arial"/>
          <w:szCs w:val="20"/>
          <w:lang w:val="en-GB"/>
        </w:rPr>
        <w:t>or</w:t>
      </w:r>
      <w:r w:rsidRPr="00065189">
        <w:rPr>
          <w:rFonts w:cs="Arial"/>
          <w:szCs w:val="20"/>
          <w:lang w:val="en-GB"/>
        </w:rPr>
        <w:t xml:space="preserve"> canals that are made available to the public without</w:t>
      </w:r>
      <w:r w:rsidR="00A47B26" w:rsidRPr="00065189">
        <w:rPr>
          <w:rFonts w:cs="Arial"/>
          <w:szCs w:val="20"/>
          <w:lang w:val="en-GB"/>
        </w:rPr>
        <w:t xml:space="preserve"> charging </w:t>
      </w:r>
      <w:r w:rsidRPr="00065189">
        <w:rPr>
          <w:rFonts w:cs="Arial"/>
          <w:szCs w:val="20"/>
          <w:lang w:val="en-GB"/>
        </w:rPr>
        <w:t xml:space="preserve">tolls as well as to the infrastructure intended for activities usually performed by the state in the execution of its public authority.  </w:t>
      </w:r>
    </w:p>
    <w:p w14:paraId="055CA76C" w14:textId="1BA60995" w:rsidR="004C1891" w:rsidRPr="00065189" w:rsidRDefault="004C1891" w:rsidP="004C1891">
      <w:pPr>
        <w:pStyle w:val="Header"/>
        <w:spacing w:before="120" w:line="276" w:lineRule="auto"/>
        <w:jc w:val="both"/>
        <w:rPr>
          <w:rFonts w:cs="Arial"/>
          <w:szCs w:val="20"/>
          <w:lang w:val="en-GB"/>
        </w:rPr>
      </w:pPr>
      <w:r w:rsidRPr="00065189">
        <w:rPr>
          <w:rFonts w:cs="Arial"/>
          <w:szCs w:val="20"/>
          <w:lang w:val="en-GB"/>
        </w:rPr>
        <w:t xml:space="preserve">In </w:t>
      </w:r>
      <w:r w:rsidR="00A47B26" w:rsidRPr="00065189">
        <w:rPr>
          <w:rFonts w:cs="Arial"/>
          <w:szCs w:val="20"/>
          <w:lang w:val="en-GB"/>
        </w:rPr>
        <w:t xml:space="preserve">the </w:t>
      </w:r>
      <w:r w:rsidRPr="00065189">
        <w:rPr>
          <w:rFonts w:cs="Arial"/>
          <w:szCs w:val="20"/>
          <w:lang w:val="en-GB"/>
        </w:rPr>
        <w:t xml:space="preserve">case of borrowers that may be classified as entrepreneurs in terms of the state aid </w:t>
      </w:r>
      <w:r w:rsidR="00A47B26" w:rsidRPr="00065189">
        <w:rPr>
          <w:rFonts w:cs="Arial"/>
          <w:szCs w:val="20"/>
          <w:lang w:val="en-GB"/>
        </w:rPr>
        <w:t>rules</w:t>
      </w:r>
      <w:r w:rsidRPr="00065189">
        <w:rPr>
          <w:rFonts w:cs="Arial"/>
          <w:szCs w:val="20"/>
          <w:vertAlign w:val="superscript"/>
          <w:lang w:val="en-GB"/>
        </w:rPr>
        <w:footnoteReference w:id="10"/>
      </w:r>
      <w:r w:rsidRPr="00065189">
        <w:rPr>
          <w:rFonts w:cs="Arial"/>
          <w:szCs w:val="20"/>
          <w:lang w:val="en-GB"/>
        </w:rPr>
        <w:t xml:space="preserve">, </w:t>
      </w:r>
      <w:r w:rsidR="00A5785F" w:rsidRPr="00065189">
        <w:rPr>
          <w:rFonts w:cs="Arial"/>
          <w:szCs w:val="20"/>
          <w:lang w:val="en-GB"/>
        </w:rPr>
        <w:t xml:space="preserve">a </w:t>
      </w:r>
      <w:r w:rsidRPr="00065189">
        <w:rPr>
          <w:rFonts w:cs="Arial"/>
          <w:szCs w:val="20"/>
          <w:lang w:val="en-GB"/>
        </w:rPr>
        <w:t xml:space="preserve">loan can be approved at promotional interest rate, i.e. </w:t>
      </w:r>
      <w:r w:rsidR="00A5785F" w:rsidRPr="00065189">
        <w:rPr>
          <w:rFonts w:cs="Arial"/>
          <w:szCs w:val="20"/>
          <w:lang w:val="en-GB"/>
        </w:rPr>
        <w:t>under</w:t>
      </w:r>
      <w:r w:rsidRPr="00065189">
        <w:rPr>
          <w:rFonts w:cs="Arial"/>
          <w:szCs w:val="20"/>
          <w:lang w:val="en-GB"/>
        </w:rPr>
        <w:t xml:space="preserve"> the state aid and/or de minimis aid regime, depending on the purpose of infrastructure/project to be financed or whether and to what extent the project</w:t>
      </w:r>
      <w:r w:rsidR="00A5785F" w:rsidRPr="00065189">
        <w:rPr>
          <w:rFonts w:cs="Arial"/>
          <w:szCs w:val="20"/>
          <w:lang w:val="en-GB"/>
        </w:rPr>
        <w:t xml:space="preserve"> is</w:t>
      </w:r>
      <w:r w:rsidRPr="00065189">
        <w:rPr>
          <w:rFonts w:cs="Arial"/>
          <w:szCs w:val="20"/>
          <w:lang w:val="en-GB"/>
        </w:rPr>
        <w:t xml:space="preserve"> intended for economic exploitation, wh</w:t>
      </w:r>
      <w:r w:rsidR="00A5785F" w:rsidRPr="00065189">
        <w:rPr>
          <w:rFonts w:cs="Arial"/>
          <w:szCs w:val="20"/>
          <w:lang w:val="en-GB"/>
        </w:rPr>
        <w:t xml:space="preserve">ich </w:t>
      </w:r>
      <w:r w:rsidRPr="00065189">
        <w:rPr>
          <w:rFonts w:cs="Arial"/>
          <w:szCs w:val="20"/>
          <w:lang w:val="en-GB"/>
        </w:rPr>
        <w:t xml:space="preserve">has to be </w:t>
      </w:r>
      <w:r w:rsidR="00A5785F" w:rsidRPr="00065189">
        <w:rPr>
          <w:rFonts w:cs="Arial"/>
          <w:szCs w:val="20"/>
          <w:lang w:val="en-GB"/>
        </w:rPr>
        <w:t xml:space="preserve">assessed by considering </w:t>
      </w:r>
      <w:r w:rsidRPr="00065189">
        <w:rPr>
          <w:rFonts w:cs="Arial"/>
          <w:szCs w:val="20"/>
          <w:lang w:val="en-GB"/>
        </w:rPr>
        <w:t>all the circumstances of an individual investment.</w:t>
      </w:r>
    </w:p>
    <w:p w14:paraId="4E8F8DEF" w14:textId="07D3AD76" w:rsidR="004C1891" w:rsidRPr="00065189" w:rsidRDefault="004C1891" w:rsidP="004C1891">
      <w:pPr>
        <w:tabs>
          <w:tab w:val="center" w:pos="4536"/>
          <w:tab w:val="right" w:pos="9072"/>
        </w:tabs>
        <w:spacing w:before="120" w:line="276" w:lineRule="auto"/>
        <w:jc w:val="both"/>
        <w:rPr>
          <w:rFonts w:cs="Arial"/>
          <w:szCs w:val="20"/>
          <w:lang w:val="en-GB"/>
        </w:rPr>
      </w:pPr>
      <w:r w:rsidRPr="00065189">
        <w:rPr>
          <w:rFonts w:cs="Arial"/>
          <w:szCs w:val="20"/>
          <w:lang w:val="en-GB"/>
        </w:rPr>
        <w:t>I</w:t>
      </w:r>
      <w:r w:rsidR="00A5785F" w:rsidRPr="00065189">
        <w:rPr>
          <w:rFonts w:cs="Arial"/>
          <w:szCs w:val="20"/>
          <w:lang w:val="en-GB"/>
        </w:rPr>
        <w:t>f</w:t>
      </w:r>
      <w:r w:rsidRPr="00065189">
        <w:rPr>
          <w:rFonts w:cs="Arial"/>
          <w:szCs w:val="20"/>
          <w:lang w:val="en-GB"/>
        </w:rPr>
        <w:t xml:space="preserve"> the purpose of an investment is an economic activity (entrepreneur in terms of aid </w:t>
      </w:r>
      <w:r w:rsidR="00A47B26" w:rsidRPr="00065189">
        <w:rPr>
          <w:rFonts w:cs="Arial"/>
          <w:szCs w:val="20"/>
          <w:lang w:val="en-GB"/>
        </w:rPr>
        <w:t>rules</w:t>
      </w:r>
      <w:r w:rsidRPr="00065189">
        <w:rPr>
          <w:rFonts w:cs="Arial"/>
          <w:szCs w:val="20"/>
          <w:lang w:val="en-GB"/>
        </w:rPr>
        <w:t>), and the borrower does not qualify for the award of state aid and/or de minims aid, the loan can be approved at general interest rate.</w:t>
      </w:r>
    </w:p>
    <w:p w14:paraId="7444F066" w14:textId="77777777" w:rsidR="004C1891" w:rsidRPr="00065189" w:rsidRDefault="004C1891" w:rsidP="004C1891">
      <w:pPr>
        <w:pStyle w:val="HeadingA"/>
        <w:numPr>
          <w:ilvl w:val="0"/>
          <w:numId w:val="0"/>
        </w:numPr>
        <w:spacing w:before="240" w:after="0" w:line="276" w:lineRule="auto"/>
        <w:outlineLvl w:val="2"/>
        <w:rPr>
          <w:rFonts w:ascii="Arial" w:hAnsi="Arial" w:cs="Arial"/>
          <w:color w:val="auto"/>
          <w:sz w:val="20"/>
          <w:szCs w:val="20"/>
          <w:lang w:val="en-GB"/>
        </w:rPr>
      </w:pPr>
      <w:bookmarkStart w:id="90" w:name="_Toc103874805"/>
      <w:bookmarkStart w:id="91" w:name="_Toc137558545"/>
      <w:r w:rsidRPr="00065189">
        <w:rPr>
          <w:rFonts w:ascii="Arial" w:hAnsi="Arial" w:cs="Arial"/>
          <w:color w:val="auto"/>
          <w:sz w:val="20"/>
          <w:szCs w:val="20"/>
          <w:lang w:val="en-GB"/>
        </w:rPr>
        <w:t>Financial restructuring</w:t>
      </w:r>
      <w:bookmarkEnd w:id="90"/>
      <w:bookmarkEnd w:id="91"/>
    </w:p>
    <w:p w14:paraId="13C76C73" w14:textId="424DA014" w:rsidR="004C1891" w:rsidRPr="00065189" w:rsidRDefault="004C1891" w:rsidP="004C1891">
      <w:pPr>
        <w:pStyle w:val="Header"/>
        <w:spacing w:line="276" w:lineRule="auto"/>
        <w:jc w:val="both"/>
        <w:rPr>
          <w:rFonts w:cs="Arial"/>
          <w:szCs w:val="20"/>
          <w:lang w:val="en-GB"/>
        </w:rPr>
      </w:pPr>
      <w:r w:rsidRPr="00065189">
        <w:rPr>
          <w:rFonts w:cs="Arial"/>
          <w:szCs w:val="20"/>
          <w:lang w:val="en-GB"/>
        </w:rPr>
        <w:t xml:space="preserve">Financing at promotional interest rate is possible exclusively pursuant to the criteria </w:t>
      </w:r>
      <w:r w:rsidR="00553528" w:rsidRPr="00065189">
        <w:rPr>
          <w:rFonts w:cs="Arial"/>
          <w:szCs w:val="20"/>
          <w:lang w:val="en-GB"/>
        </w:rPr>
        <w:t>c</w:t>
      </w:r>
      <w:r w:rsidR="003A2BB1" w:rsidRPr="00065189">
        <w:rPr>
          <w:rFonts w:cs="Arial"/>
          <w:szCs w:val="20"/>
          <w:lang w:val="en-GB"/>
        </w:rPr>
        <w:t xml:space="preserve">ontained in </w:t>
      </w:r>
      <w:r w:rsidRPr="00065189">
        <w:rPr>
          <w:rFonts w:cs="Arial"/>
          <w:szCs w:val="20"/>
          <w:lang w:val="en-GB"/>
        </w:rPr>
        <w:t xml:space="preserve">the Guidelines on State Aid for Rescuing and Restructuring Non-Financial Undertakings in Difficulty (OJ C 249, 31.7.2014) and de minimis aid </w:t>
      </w:r>
      <w:r w:rsidR="00A47B26" w:rsidRPr="00065189">
        <w:rPr>
          <w:rFonts w:cs="Arial"/>
          <w:szCs w:val="20"/>
          <w:lang w:val="en-GB"/>
        </w:rPr>
        <w:t>r</w:t>
      </w:r>
      <w:r w:rsidR="00FE5F6A" w:rsidRPr="00065189">
        <w:rPr>
          <w:rFonts w:cs="Arial"/>
          <w:szCs w:val="20"/>
          <w:lang w:val="en-GB"/>
        </w:rPr>
        <w:t>egulations</w:t>
      </w:r>
      <w:r w:rsidRPr="00065189">
        <w:rPr>
          <w:rFonts w:cs="Arial"/>
          <w:szCs w:val="20"/>
          <w:lang w:val="en-GB"/>
        </w:rPr>
        <w:t>.</w:t>
      </w:r>
    </w:p>
    <w:p w14:paraId="649820C3" w14:textId="56324BE4" w:rsidR="004C1891" w:rsidRPr="00065189" w:rsidRDefault="004C1891" w:rsidP="004C1891">
      <w:pPr>
        <w:pStyle w:val="Header"/>
        <w:spacing w:before="120" w:line="276" w:lineRule="auto"/>
        <w:jc w:val="both"/>
        <w:rPr>
          <w:rFonts w:cs="Arial"/>
          <w:szCs w:val="20"/>
          <w:lang w:val="en-GB"/>
        </w:rPr>
      </w:pPr>
      <w:r w:rsidRPr="00065189">
        <w:rPr>
          <w:rFonts w:cs="Arial"/>
          <w:szCs w:val="20"/>
          <w:lang w:val="en-GB"/>
        </w:rPr>
        <w:t>Financing of companies in difficulties in terms of item 20 of the mentioned Guidelines is implemented exclusively in accordance with the provisions of the State Aid Act (</w:t>
      </w:r>
      <w:r w:rsidR="00AB6D86" w:rsidRPr="00065189">
        <w:rPr>
          <w:rFonts w:cs="Arial"/>
          <w:szCs w:val="20"/>
          <w:lang w:val="en-GB"/>
        </w:rPr>
        <w:t>Official Gazette of the Republic of Croatia,</w:t>
      </w:r>
      <w:r w:rsidRPr="00065189">
        <w:rPr>
          <w:rFonts w:cs="Arial"/>
          <w:szCs w:val="20"/>
          <w:lang w:val="en-GB"/>
        </w:rPr>
        <w:t xml:space="preserve"> Nos. 47/14, 69/17) and its subsequent amendments, i.e. with obligatory prior notification of the aid for </w:t>
      </w:r>
      <w:r w:rsidR="00B015B5" w:rsidRPr="00065189">
        <w:rPr>
          <w:rFonts w:cs="Arial"/>
          <w:szCs w:val="20"/>
          <w:lang w:val="en-GB"/>
        </w:rPr>
        <w:t xml:space="preserve">rescuing </w:t>
      </w:r>
      <w:r w:rsidR="00761FDA" w:rsidRPr="00065189">
        <w:rPr>
          <w:rFonts w:cs="Arial"/>
          <w:szCs w:val="20"/>
          <w:lang w:val="en-GB"/>
        </w:rPr>
        <w:t xml:space="preserve">and/or </w:t>
      </w:r>
      <w:r w:rsidRPr="00065189">
        <w:rPr>
          <w:rFonts w:cs="Arial"/>
          <w:szCs w:val="20"/>
          <w:lang w:val="en-GB"/>
        </w:rPr>
        <w:t xml:space="preserve">aid for restructuring for assessment </w:t>
      </w:r>
      <w:r w:rsidR="0078646F" w:rsidRPr="00065189">
        <w:rPr>
          <w:rFonts w:cs="Arial"/>
          <w:szCs w:val="20"/>
          <w:lang w:val="en-GB"/>
        </w:rPr>
        <w:t>t</w:t>
      </w:r>
      <w:r w:rsidRPr="00065189">
        <w:rPr>
          <w:rFonts w:cs="Arial"/>
          <w:szCs w:val="20"/>
          <w:lang w:val="en-GB"/>
        </w:rPr>
        <w:t xml:space="preserve">o the European Commission/the Ministry of Finance and </w:t>
      </w:r>
      <w:r w:rsidR="002124DA" w:rsidRPr="00065189">
        <w:rPr>
          <w:rFonts w:cs="Arial"/>
          <w:szCs w:val="20"/>
          <w:lang w:val="en-GB"/>
        </w:rPr>
        <w:t>by</w:t>
      </w:r>
      <w:r w:rsidR="000B20BC" w:rsidRPr="00065189">
        <w:rPr>
          <w:rFonts w:cs="Arial"/>
          <w:szCs w:val="20"/>
          <w:lang w:val="en-GB"/>
        </w:rPr>
        <w:t xml:space="preserve"> </w:t>
      </w:r>
      <w:r w:rsidRPr="00065189">
        <w:rPr>
          <w:rFonts w:cs="Arial"/>
          <w:szCs w:val="20"/>
          <w:lang w:val="en-GB"/>
        </w:rPr>
        <w:t>respecting all the criteria of the mentioned Guidelines.</w:t>
      </w:r>
    </w:p>
    <w:bookmarkEnd w:id="86"/>
    <w:bookmarkEnd w:id="87"/>
    <w:p w14:paraId="2A6E3715" w14:textId="11A3DBB4" w:rsidR="009B5282" w:rsidRPr="00065189" w:rsidRDefault="00A47B26" w:rsidP="00510075">
      <w:pPr>
        <w:pStyle w:val="Header"/>
        <w:spacing w:before="120" w:line="276" w:lineRule="auto"/>
        <w:jc w:val="both"/>
        <w:rPr>
          <w:rFonts w:cs="Arial"/>
          <w:szCs w:val="20"/>
          <w:lang w:val="en-GB"/>
        </w:rPr>
      </w:pPr>
      <w:r w:rsidRPr="00065189">
        <w:rPr>
          <w:rFonts w:cs="Arial"/>
          <w:szCs w:val="20"/>
          <w:lang w:val="en-GB"/>
        </w:rPr>
        <w:t>In the case of</w:t>
      </w:r>
      <w:r w:rsidR="006064FA" w:rsidRPr="00065189">
        <w:rPr>
          <w:rFonts w:cs="Arial"/>
          <w:szCs w:val="20"/>
          <w:lang w:val="en-GB"/>
        </w:rPr>
        <w:t xml:space="preserve"> direct lending to borrowers secured by a guarantee of the Republic of Croatia or a guarantee of a commercial bank acceptable for HBOR, generally </w:t>
      </w:r>
      <w:r w:rsidR="005E6448" w:rsidRPr="00065189">
        <w:rPr>
          <w:rFonts w:cs="Arial"/>
          <w:szCs w:val="20"/>
          <w:lang w:val="en-GB"/>
        </w:rPr>
        <w:t xml:space="preserve">covering </w:t>
      </w:r>
      <w:r w:rsidR="006064FA" w:rsidRPr="00065189">
        <w:rPr>
          <w:rFonts w:cs="Arial"/>
          <w:szCs w:val="20"/>
          <w:lang w:val="en-GB"/>
        </w:rPr>
        <w:t xml:space="preserve">at least 80% of unrepaid amount of the principal, interest and other expenses relating to the loan, HBOR can finance business entities even when they are in difficulties, i.e. fulfil one of the criteria </w:t>
      </w:r>
      <w:r w:rsidR="003C7317" w:rsidRPr="00065189">
        <w:rPr>
          <w:rFonts w:cs="Arial"/>
          <w:szCs w:val="20"/>
          <w:lang w:val="en-GB"/>
        </w:rPr>
        <w:t xml:space="preserve">referred to in </w:t>
      </w:r>
      <w:r w:rsidR="006064FA" w:rsidRPr="00065189">
        <w:rPr>
          <w:rFonts w:cs="Arial"/>
          <w:szCs w:val="20"/>
          <w:lang w:val="en-GB"/>
        </w:rPr>
        <w:t xml:space="preserve">item 20 of the Guidelines on State Aid for Rescuing and Restructuring Non-Financial Undertakings in Difficulty </w:t>
      </w:r>
      <w:r w:rsidR="009B5282" w:rsidRPr="00065189">
        <w:rPr>
          <w:rFonts w:cs="Arial"/>
          <w:szCs w:val="20"/>
          <w:lang w:val="en-GB"/>
        </w:rPr>
        <w:t>(</w:t>
      </w:r>
      <w:r w:rsidR="00C95F6A" w:rsidRPr="00065189">
        <w:rPr>
          <w:rFonts w:cs="Arial"/>
          <w:szCs w:val="20"/>
          <w:lang w:val="en-GB"/>
        </w:rPr>
        <w:t>OJ</w:t>
      </w:r>
      <w:r w:rsidR="009B5282" w:rsidRPr="00065189">
        <w:rPr>
          <w:rFonts w:cs="Arial"/>
          <w:szCs w:val="20"/>
          <w:lang w:val="en-GB"/>
        </w:rPr>
        <w:t xml:space="preserve"> C 249, 31.7.2014)</w:t>
      </w:r>
    </w:p>
    <w:p w14:paraId="6143E556" w14:textId="4B928345" w:rsidR="00E82ACE" w:rsidRPr="00065189" w:rsidRDefault="00BF1E03" w:rsidP="009B5282">
      <w:pPr>
        <w:pStyle w:val="Header"/>
        <w:spacing w:line="276" w:lineRule="auto"/>
        <w:jc w:val="both"/>
        <w:rPr>
          <w:rStyle w:val="Hyperlink"/>
          <w:rFonts w:cs="Arial"/>
          <w:color w:val="2F5496" w:themeColor="accent1" w:themeShade="BF"/>
          <w:szCs w:val="20"/>
          <w:lang w:val="en-GB"/>
        </w:rPr>
      </w:pPr>
      <w:hyperlink r:id="rId14" w:history="1">
        <w:r w:rsidR="009B5282" w:rsidRPr="00065189">
          <w:rPr>
            <w:rStyle w:val="Hyperlink"/>
            <w:rFonts w:cs="Arial"/>
            <w:color w:val="2F5496" w:themeColor="accent1" w:themeShade="BF"/>
            <w:szCs w:val="20"/>
            <w:lang w:val="en-GB"/>
          </w:rPr>
          <w:t>https://eur-lex.europa.eu/legal-content/HR/TXT/PDF/?uri=OJ:C:2014:249:FULL&amp;from=HR</w:t>
        </w:r>
      </w:hyperlink>
    </w:p>
    <w:p w14:paraId="390AAC89" w14:textId="4963D3F2" w:rsidR="005957A2" w:rsidRPr="00065189" w:rsidRDefault="006C3449" w:rsidP="001A4F54">
      <w:pPr>
        <w:pStyle w:val="HeadingA"/>
        <w:numPr>
          <w:ilvl w:val="1"/>
          <w:numId w:val="4"/>
        </w:numPr>
        <w:spacing w:after="240" w:line="276" w:lineRule="auto"/>
        <w:ind w:left="851" w:hanging="567"/>
        <w:outlineLvl w:val="1"/>
        <w:rPr>
          <w:rFonts w:ascii="Arial" w:hAnsi="Arial" w:cs="Arial"/>
          <w:sz w:val="20"/>
          <w:szCs w:val="20"/>
          <w:lang w:val="en-GB"/>
        </w:rPr>
      </w:pPr>
      <w:bookmarkStart w:id="92" w:name="_Toc137558546"/>
      <w:bookmarkStart w:id="93" w:name="_Hlk93568791"/>
      <w:r w:rsidRPr="00065189">
        <w:rPr>
          <w:rFonts w:ascii="Arial" w:hAnsi="Arial" w:cs="Arial"/>
          <w:sz w:val="20"/>
          <w:szCs w:val="20"/>
          <w:lang w:val="en-GB"/>
        </w:rPr>
        <w:t>Exemptions from Financing at Promotional Interest Rate</w:t>
      </w:r>
      <w:bookmarkEnd w:id="92"/>
    </w:p>
    <w:bookmarkEnd w:id="93"/>
    <w:p w14:paraId="62A7621A" w14:textId="35C179A4" w:rsidR="009B2741" w:rsidRPr="00065189" w:rsidRDefault="005957A2" w:rsidP="009B2741">
      <w:pPr>
        <w:pStyle w:val="Header"/>
        <w:tabs>
          <w:tab w:val="clear" w:pos="4536"/>
          <w:tab w:val="clear" w:pos="9072"/>
          <w:tab w:val="center" w:pos="4703"/>
          <w:tab w:val="right" w:pos="9406"/>
        </w:tabs>
        <w:spacing w:line="276" w:lineRule="auto"/>
        <w:jc w:val="both"/>
        <w:rPr>
          <w:rFonts w:cs="Arial"/>
          <w:szCs w:val="20"/>
          <w:lang w:val="en-GB"/>
        </w:rPr>
      </w:pPr>
      <w:r w:rsidRPr="00065189">
        <w:rPr>
          <w:rFonts w:cs="Arial"/>
          <w:szCs w:val="20"/>
          <w:lang w:val="en-GB"/>
        </w:rPr>
        <w:t>F</w:t>
      </w:r>
      <w:r w:rsidR="009B2741" w:rsidRPr="00065189">
        <w:rPr>
          <w:rFonts w:cs="Arial"/>
          <w:szCs w:val="20"/>
          <w:lang w:val="en-GB"/>
        </w:rPr>
        <w:t>inancing at promotional interest rate is not possible:</w:t>
      </w:r>
    </w:p>
    <w:p w14:paraId="75BD6304" w14:textId="3F9A56CD" w:rsidR="009B2741" w:rsidRPr="00065189" w:rsidRDefault="00A47B26" w:rsidP="009B2741">
      <w:pPr>
        <w:pStyle w:val="Header"/>
        <w:numPr>
          <w:ilvl w:val="0"/>
          <w:numId w:val="11"/>
        </w:numPr>
        <w:tabs>
          <w:tab w:val="clear" w:pos="4536"/>
          <w:tab w:val="clear" w:pos="9072"/>
          <w:tab w:val="center" w:pos="4703"/>
          <w:tab w:val="right" w:pos="9406"/>
        </w:tabs>
        <w:spacing w:before="120" w:line="276" w:lineRule="auto"/>
        <w:ind w:left="714" w:hanging="357"/>
        <w:jc w:val="both"/>
        <w:rPr>
          <w:rFonts w:cs="Arial"/>
          <w:szCs w:val="20"/>
          <w:lang w:val="en-GB"/>
        </w:rPr>
      </w:pPr>
      <w:r w:rsidRPr="00065189">
        <w:rPr>
          <w:rFonts w:cs="Arial"/>
          <w:szCs w:val="20"/>
          <w:lang w:val="en-GB"/>
        </w:rPr>
        <w:t>In the case of</w:t>
      </w:r>
      <w:r w:rsidR="009B2741" w:rsidRPr="00065189">
        <w:rPr>
          <w:rFonts w:cs="Arial"/>
          <w:szCs w:val="20"/>
          <w:lang w:val="en-GB"/>
        </w:rPr>
        <w:t xml:space="preserve"> programmes for export financ</w:t>
      </w:r>
      <w:r w:rsidR="00F01F58" w:rsidRPr="00065189">
        <w:rPr>
          <w:rFonts w:cs="Arial"/>
          <w:szCs w:val="20"/>
          <w:lang w:val="en-GB"/>
        </w:rPr>
        <w:t>e</w:t>
      </w:r>
      <w:r w:rsidR="009B2741" w:rsidRPr="00065189">
        <w:rPr>
          <w:rFonts w:cs="Arial"/>
          <w:szCs w:val="20"/>
          <w:lang w:val="en-GB"/>
        </w:rPr>
        <w:t xml:space="preserve"> (Pre-Export Finance, Buyer Credit, Supplier Credit) </w:t>
      </w:r>
      <w:r w:rsidR="00BD1594" w:rsidRPr="00065189">
        <w:rPr>
          <w:rFonts w:cs="Arial"/>
          <w:szCs w:val="20"/>
          <w:lang w:val="en-GB"/>
        </w:rPr>
        <w:t xml:space="preserve">because </w:t>
      </w:r>
      <w:r w:rsidR="009B2741" w:rsidRPr="00065189">
        <w:rPr>
          <w:rFonts w:cs="Arial"/>
          <w:szCs w:val="20"/>
          <w:lang w:val="en-GB"/>
        </w:rPr>
        <w:t xml:space="preserve">the state aid </w:t>
      </w:r>
      <w:r w:rsidRPr="00065189">
        <w:rPr>
          <w:rFonts w:cs="Arial"/>
          <w:szCs w:val="20"/>
          <w:lang w:val="en-GB"/>
        </w:rPr>
        <w:t>rules</w:t>
      </w:r>
      <w:r w:rsidR="009B2741" w:rsidRPr="00065189">
        <w:rPr>
          <w:rFonts w:cs="Arial"/>
          <w:szCs w:val="20"/>
          <w:lang w:val="en-GB"/>
        </w:rPr>
        <w:t xml:space="preserve"> ex</w:t>
      </w:r>
      <w:r w:rsidR="00DB6B0A" w:rsidRPr="00065189">
        <w:rPr>
          <w:rFonts w:cs="Arial"/>
          <w:szCs w:val="20"/>
          <w:lang w:val="en-GB"/>
        </w:rPr>
        <w:t xml:space="preserve">pressly </w:t>
      </w:r>
      <w:r w:rsidR="00464FB6" w:rsidRPr="00065189">
        <w:rPr>
          <w:rFonts w:cs="Arial"/>
          <w:szCs w:val="20"/>
          <w:lang w:val="en-GB"/>
        </w:rPr>
        <w:t xml:space="preserve">exclude </w:t>
      </w:r>
      <w:r w:rsidR="009B2741" w:rsidRPr="00065189">
        <w:rPr>
          <w:rFonts w:cs="Arial"/>
          <w:szCs w:val="20"/>
          <w:lang w:val="en-GB"/>
        </w:rPr>
        <w:t xml:space="preserve">the possibility of awarding aid for </w:t>
      </w:r>
      <w:r w:rsidR="00DC346E" w:rsidRPr="00065189">
        <w:rPr>
          <w:rFonts w:cs="Arial"/>
          <w:szCs w:val="20"/>
          <w:lang w:val="en-GB"/>
        </w:rPr>
        <w:t xml:space="preserve">the activities oriented at </w:t>
      </w:r>
      <w:r w:rsidR="009B2741" w:rsidRPr="00065189">
        <w:rPr>
          <w:rFonts w:cs="Arial"/>
          <w:szCs w:val="20"/>
          <w:lang w:val="en-GB"/>
        </w:rPr>
        <w:t>export</w:t>
      </w:r>
      <w:r w:rsidR="00DC346E" w:rsidRPr="00065189">
        <w:rPr>
          <w:rFonts w:cs="Arial"/>
          <w:szCs w:val="20"/>
          <w:lang w:val="en-GB"/>
        </w:rPr>
        <w:t>s</w:t>
      </w:r>
      <w:r w:rsidR="009B2741" w:rsidRPr="00065189">
        <w:rPr>
          <w:rFonts w:cs="Arial"/>
          <w:szCs w:val="20"/>
          <w:lang w:val="en-GB"/>
        </w:rPr>
        <w:t xml:space="preserve"> to third countries or member countries, or the aid </w:t>
      </w:r>
      <w:r w:rsidR="00D039CF" w:rsidRPr="00065189">
        <w:rPr>
          <w:rFonts w:cs="Arial"/>
          <w:szCs w:val="20"/>
          <w:lang w:val="en-GB"/>
        </w:rPr>
        <w:t xml:space="preserve">directly </w:t>
      </w:r>
      <w:r w:rsidR="009B2741" w:rsidRPr="00065189">
        <w:rPr>
          <w:rFonts w:cs="Arial"/>
          <w:szCs w:val="20"/>
          <w:lang w:val="en-GB"/>
        </w:rPr>
        <w:t>connected with exported quantities, with the establishment and functioning of distribution network or with other current expenses related to the export activity;</w:t>
      </w:r>
    </w:p>
    <w:p w14:paraId="62876515" w14:textId="4B532B7A" w:rsidR="005C1C15" w:rsidRPr="00065189" w:rsidRDefault="009B2741" w:rsidP="006D7992">
      <w:pPr>
        <w:pStyle w:val="Header"/>
        <w:numPr>
          <w:ilvl w:val="0"/>
          <w:numId w:val="11"/>
        </w:numPr>
        <w:tabs>
          <w:tab w:val="clear" w:pos="4536"/>
          <w:tab w:val="clear" w:pos="9072"/>
          <w:tab w:val="center" w:pos="4703"/>
          <w:tab w:val="right" w:pos="9406"/>
        </w:tabs>
        <w:spacing w:before="120" w:line="276" w:lineRule="auto"/>
        <w:ind w:left="714" w:hanging="357"/>
        <w:jc w:val="both"/>
        <w:rPr>
          <w:rFonts w:cs="Arial"/>
          <w:szCs w:val="20"/>
          <w:lang w:val="en-GB"/>
        </w:rPr>
      </w:pPr>
      <w:r w:rsidRPr="00065189">
        <w:rPr>
          <w:rFonts w:cs="Arial"/>
          <w:szCs w:val="20"/>
          <w:lang w:val="en-GB"/>
        </w:rPr>
        <w:t>In the fisheries and aquaculture sector, including the activities of producing, processing and marketing of fisheries and aquaculture product</w:t>
      </w:r>
      <w:r w:rsidR="001B224E" w:rsidRPr="00065189">
        <w:rPr>
          <w:rFonts w:cs="Arial"/>
          <w:szCs w:val="20"/>
          <w:lang w:val="en-GB"/>
        </w:rPr>
        <w:t>s</w:t>
      </w:r>
      <w:r w:rsidR="005957A2" w:rsidRPr="00065189">
        <w:rPr>
          <w:rFonts w:cs="Arial"/>
          <w:szCs w:val="20"/>
          <w:lang w:val="en-GB"/>
        </w:rPr>
        <w:t>.</w:t>
      </w:r>
    </w:p>
    <w:p w14:paraId="6B68E8DC" w14:textId="2DCF8820" w:rsidR="00E37927" w:rsidRPr="00065189" w:rsidRDefault="00390C5F" w:rsidP="001A4F54">
      <w:pPr>
        <w:pStyle w:val="HeadingA"/>
        <w:numPr>
          <w:ilvl w:val="0"/>
          <w:numId w:val="4"/>
        </w:numPr>
        <w:spacing w:after="240" w:line="276" w:lineRule="auto"/>
        <w:ind w:left="357" w:hanging="357"/>
        <w:outlineLvl w:val="0"/>
        <w:rPr>
          <w:rFonts w:ascii="Arial" w:hAnsi="Arial" w:cs="Arial"/>
          <w:sz w:val="24"/>
          <w:szCs w:val="24"/>
          <w:lang w:val="en-GB"/>
        </w:rPr>
      </w:pPr>
      <w:bookmarkStart w:id="94" w:name="_Toc137558547"/>
      <w:r w:rsidRPr="00065189">
        <w:rPr>
          <w:rFonts w:ascii="Arial" w:hAnsi="Arial" w:cs="Arial"/>
          <w:sz w:val="24"/>
          <w:szCs w:val="24"/>
          <w:lang w:val="en-GB"/>
        </w:rPr>
        <w:t>O</w:t>
      </w:r>
      <w:r w:rsidR="00313D89" w:rsidRPr="00065189">
        <w:rPr>
          <w:rFonts w:ascii="Arial" w:hAnsi="Arial" w:cs="Arial"/>
          <w:sz w:val="24"/>
          <w:szCs w:val="24"/>
          <w:lang w:val="en-GB"/>
        </w:rPr>
        <w:t>t</w:t>
      </w:r>
      <w:r w:rsidR="00D9335B" w:rsidRPr="00065189">
        <w:rPr>
          <w:rFonts w:ascii="Arial" w:hAnsi="Arial" w:cs="Arial"/>
          <w:sz w:val="24"/>
          <w:szCs w:val="24"/>
          <w:lang w:val="en-GB"/>
        </w:rPr>
        <w:t>hers</w:t>
      </w:r>
      <w:bookmarkEnd w:id="94"/>
    </w:p>
    <w:p w14:paraId="1BBD80AB" w14:textId="2A20801C" w:rsidR="00FA6E4D" w:rsidRPr="00065189" w:rsidRDefault="00205A6C" w:rsidP="002355BE">
      <w:pPr>
        <w:spacing w:line="276" w:lineRule="auto"/>
        <w:jc w:val="both"/>
        <w:rPr>
          <w:rFonts w:cs="Arial"/>
          <w:szCs w:val="20"/>
          <w:lang w:val="en-GB"/>
        </w:rPr>
      </w:pPr>
      <w:bookmarkStart w:id="95" w:name="_Hlk93568423"/>
      <w:r w:rsidRPr="00065189">
        <w:rPr>
          <w:rFonts w:cs="Arial"/>
          <w:szCs w:val="20"/>
          <w:lang w:val="en-GB"/>
        </w:rPr>
        <w:t>Applicants are not automatically entitled to obtain a loan. HBOR makes a decision on each individual application</w:t>
      </w:r>
      <w:r w:rsidR="00711102" w:rsidRPr="00065189">
        <w:rPr>
          <w:rFonts w:cs="Arial"/>
          <w:szCs w:val="20"/>
          <w:lang w:val="en-GB"/>
        </w:rPr>
        <w:t>.</w:t>
      </w:r>
    </w:p>
    <w:p w14:paraId="3DE49814" w14:textId="77777777" w:rsidR="00FA6E4D" w:rsidRPr="00065189" w:rsidRDefault="00FA6E4D">
      <w:pPr>
        <w:rPr>
          <w:rFonts w:cs="Arial"/>
          <w:szCs w:val="20"/>
          <w:lang w:val="en-GB"/>
        </w:rPr>
      </w:pPr>
      <w:r w:rsidRPr="00065189">
        <w:rPr>
          <w:rFonts w:cs="Arial"/>
          <w:szCs w:val="20"/>
          <w:lang w:val="en-GB"/>
        </w:rPr>
        <w:br w:type="page"/>
      </w:r>
    </w:p>
    <w:p w14:paraId="3D23CFFE" w14:textId="46AE06D4" w:rsidR="00307038" w:rsidRPr="00065189" w:rsidRDefault="00D5212D" w:rsidP="0099257F">
      <w:pPr>
        <w:pStyle w:val="HeadingA"/>
        <w:numPr>
          <w:ilvl w:val="0"/>
          <w:numId w:val="0"/>
        </w:numPr>
        <w:spacing w:before="240" w:after="0" w:line="276" w:lineRule="auto"/>
        <w:outlineLvl w:val="2"/>
        <w:rPr>
          <w:rFonts w:ascii="Arial" w:hAnsi="Arial" w:cs="Arial"/>
          <w:color w:val="auto"/>
          <w:lang w:val="en-GB"/>
        </w:rPr>
      </w:pPr>
      <w:bookmarkStart w:id="96" w:name="_Toc137558548"/>
      <w:bookmarkEnd w:id="95"/>
      <w:r w:rsidRPr="00065189">
        <w:rPr>
          <w:rFonts w:ascii="Arial" w:hAnsi="Arial" w:cs="Arial"/>
          <w:color w:val="auto"/>
          <w:lang w:val="en-GB"/>
        </w:rPr>
        <w:lastRenderedPageBreak/>
        <w:t xml:space="preserve">Schedule </w:t>
      </w:r>
      <w:r w:rsidR="00FA6E4D" w:rsidRPr="00065189">
        <w:rPr>
          <w:rFonts w:ascii="Arial" w:hAnsi="Arial" w:cs="Arial"/>
          <w:color w:val="auto"/>
          <w:lang w:val="en-GB"/>
        </w:rPr>
        <w:t xml:space="preserve">1 </w:t>
      </w:r>
      <w:r w:rsidRPr="00065189">
        <w:rPr>
          <w:rFonts w:ascii="Arial" w:hAnsi="Arial" w:cs="Arial"/>
          <w:color w:val="auto"/>
          <w:lang w:val="en-GB"/>
        </w:rPr>
        <w:t>–</w:t>
      </w:r>
      <w:r w:rsidR="00FA6E4D" w:rsidRPr="00065189">
        <w:rPr>
          <w:rFonts w:ascii="Arial" w:hAnsi="Arial" w:cs="Arial"/>
          <w:color w:val="auto"/>
          <w:lang w:val="en-GB"/>
        </w:rPr>
        <w:t xml:space="preserve"> </w:t>
      </w:r>
      <w:r w:rsidRPr="00065189">
        <w:rPr>
          <w:rFonts w:ascii="Arial" w:hAnsi="Arial" w:cs="Arial"/>
          <w:color w:val="auto"/>
          <w:lang w:val="en-GB"/>
        </w:rPr>
        <w:t>Ineligible activities</w:t>
      </w:r>
      <w:bookmarkEnd w:id="96"/>
    </w:p>
    <w:p w14:paraId="7CCEBB1B" w14:textId="77777777" w:rsidR="005F01FB" w:rsidRPr="00065189" w:rsidRDefault="005F01FB" w:rsidP="005F01FB">
      <w:pPr>
        <w:pStyle w:val="Style30"/>
        <w:numPr>
          <w:ilvl w:val="0"/>
          <w:numId w:val="12"/>
        </w:numPr>
        <w:shd w:val="clear" w:color="auto" w:fill="auto"/>
        <w:spacing w:before="120" w:line="276" w:lineRule="auto"/>
        <w:ind w:left="760" w:hanging="601"/>
        <w:rPr>
          <w:rFonts w:ascii="Arial" w:hAnsi="Arial" w:cs="Arial"/>
          <w:sz w:val="20"/>
          <w:szCs w:val="20"/>
          <w:lang w:val="en-GB"/>
        </w:rPr>
      </w:pPr>
      <w:r w:rsidRPr="00065189">
        <w:rPr>
          <w:rFonts w:ascii="Arial" w:hAnsi="Arial" w:cs="Arial"/>
          <w:sz w:val="20"/>
          <w:lang w:val="en-GB"/>
        </w:rPr>
        <w:t>Activities which limit individual rights and freedoms or that violate human rights</w:t>
      </w:r>
      <w:r w:rsidRPr="00065189">
        <w:rPr>
          <w:rFonts w:ascii="Arial" w:hAnsi="Arial" w:cs="Arial"/>
          <w:sz w:val="20"/>
          <w:szCs w:val="20"/>
          <w:lang w:val="en-GB"/>
        </w:rPr>
        <w:t>;</w:t>
      </w:r>
    </w:p>
    <w:p w14:paraId="21ECFDEF" w14:textId="007839FA" w:rsidR="005F01FB" w:rsidRPr="00065189" w:rsidRDefault="005F01FB" w:rsidP="005F01FB">
      <w:pPr>
        <w:pStyle w:val="Style30"/>
        <w:numPr>
          <w:ilvl w:val="0"/>
          <w:numId w:val="12"/>
        </w:numPr>
        <w:shd w:val="clear" w:color="auto" w:fill="auto"/>
        <w:spacing w:before="120" w:line="276" w:lineRule="auto"/>
        <w:ind w:left="760" w:hanging="601"/>
        <w:rPr>
          <w:rFonts w:ascii="Arial" w:hAnsi="Arial" w:cs="Arial"/>
          <w:sz w:val="20"/>
          <w:szCs w:val="20"/>
          <w:lang w:val="en-GB"/>
        </w:rPr>
      </w:pPr>
      <w:r w:rsidRPr="00065189">
        <w:rPr>
          <w:rFonts w:ascii="Arial" w:hAnsi="Arial" w:cs="Arial"/>
          <w:sz w:val="20"/>
          <w:lang w:val="en-GB"/>
        </w:rPr>
        <w:t>In the area of defence activities</w:t>
      </w:r>
      <w:r w:rsidR="00BF1CCB" w:rsidRPr="00065189">
        <w:rPr>
          <w:rFonts w:ascii="Arial" w:hAnsi="Arial" w:cs="Arial"/>
          <w:sz w:val="20"/>
          <w:lang w:val="en-GB"/>
        </w:rPr>
        <w:t>:</w:t>
      </w:r>
      <w:r w:rsidRPr="00065189">
        <w:rPr>
          <w:rFonts w:ascii="Arial" w:hAnsi="Arial" w:cs="Arial"/>
          <w:sz w:val="20"/>
          <w:lang w:val="en-GB"/>
        </w:rPr>
        <w:t xml:space="preserve"> the</w:t>
      </w:r>
      <w:r w:rsidRPr="00065189">
        <w:rPr>
          <w:rFonts w:ascii="Arial" w:hAnsi="Arial" w:cs="Arial"/>
          <w:spacing w:val="-6"/>
          <w:sz w:val="20"/>
          <w:lang w:val="en-GB"/>
        </w:rPr>
        <w:t xml:space="preserve"> </w:t>
      </w:r>
      <w:r w:rsidRPr="00065189">
        <w:rPr>
          <w:rFonts w:ascii="Arial" w:hAnsi="Arial" w:cs="Arial"/>
          <w:sz w:val="20"/>
          <w:lang w:val="en-GB"/>
        </w:rPr>
        <w:t>use, development or production of products and technologies that are prohibited by applicable international law</w:t>
      </w:r>
      <w:r w:rsidRPr="00065189">
        <w:rPr>
          <w:rFonts w:ascii="Arial" w:hAnsi="Arial" w:cs="Arial"/>
          <w:sz w:val="20"/>
          <w:szCs w:val="20"/>
          <w:lang w:val="en-GB"/>
        </w:rPr>
        <w:t>;</w:t>
      </w:r>
    </w:p>
    <w:p w14:paraId="1BD68EDF" w14:textId="77777777" w:rsidR="005F01FB" w:rsidRPr="00065189" w:rsidRDefault="005F01FB" w:rsidP="005F01FB">
      <w:pPr>
        <w:pStyle w:val="Style30"/>
        <w:numPr>
          <w:ilvl w:val="0"/>
          <w:numId w:val="12"/>
        </w:numPr>
        <w:shd w:val="clear" w:color="auto" w:fill="auto"/>
        <w:spacing w:before="120" w:line="276" w:lineRule="auto"/>
        <w:ind w:left="760" w:hanging="601"/>
        <w:rPr>
          <w:rFonts w:ascii="Arial" w:hAnsi="Arial" w:cs="Arial"/>
          <w:sz w:val="20"/>
          <w:szCs w:val="20"/>
          <w:lang w:val="en-GB"/>
        </w:rPr>
      </w:pPr>
      <w:r w:rsidRPr="00065189">
        <w:rPr>
          <w:rFonts w:ascii="Arial" w:hAnsi="Arial" w:cs="Arial"/>
          <w:w w:val="95"/>
          <w:sz w:val="20"/>
          <w:lang w:val="en-GB"/>
        </w:rPr>
        <w:t>Tobacco-related products and activities</w:t>
      </w:r>
      <w:r w:rsidRPr="00065189">
        <w:rPr>
          <w:rFonts w:ascii="Arial" w:hAnsi="Arial" w:cs="Arial"/>
          <w:spacing w:val="8"/>
          <w:sz w:val="20"/>
          <w:lang w:val="en-GB"/>
        </w:rPr>
        <w:t xml:space="preserve"> </w:t>
      </w:r>
      <w:r w:rsidRPr="00065189">
        <w:rPr>
          <w:rFonts w:ascii="Arial" w:hAnsi="Arial" w:cs="Arial"/>
          <w:w w:val="95"/>
          <w:sz w:val="20"/>
          <w:lang w:val="en-GB"/>
        </w:rPr>
        <w:t>(cultivation and production,</w:t>
      </w:r>
      <w:r w:rsidRPr="00065189">
        <w:rPr>
          <w:rFonts w:ascii="Arial" w:hAnsi="Arial" w:cs="Arial"/>
          <w:spacing w:val="8"/>
          <w:sz w:val="20"/>
          <w:lang w:val="en-GB"/>
        </w:rPr>
        <w:t xml:space="preserve"> </w:t>
      </w:r>
      <w:r w:rsidRPr="00065189">
        <w:rPr>
          <w:rFonts w:ascii="Arial" w:hAnsi="Arial" w:cs="Arial"/>
          <w:w w:val="95"/>
          <w:sz w:val="20"/>
          <w:lang w:val="en-GB"/>
        </w:rPr>
        <w:t>distribution,</w:t>
      </w:r>
      <w:r w:rsidRPr="00065189">
        <w:rPr>
          <w:rFonts w:ascii="Arial" w:hAnsi="Arial" w:cs="Arial"/>
          <w:spacing w:val="9"/>
          <w:sz w:val="20"/>
          <w:lang w:val="en-GB"/>
        </w:rPr>
        <w:t xml:space="preserve"> </w:t>
      </w:r>
      <w:r w:rsidRPr="00065189">
        <w:rPr>
          <w:rFonts w:ascii="Arial" w:hAnsi="Arial" w:cs="Arial"/>
          <w:w w:val="95"/>
          <w:sz w:val="20"/>
          <w:lang w:val="en-GB"/>
        </w:rPr>
        <w:t>processing and trade)</w:t>
      </w:r>
      <w:r w:rsidRPr="00065189">
        <w:rPr>
          <w:rFonts w:ascii="Arial" w:hAnsi="Arial" w:cs="Arial"/>
          <w:sz w:val="20"/>
          <w:szCs w:val="20"/>
          <w:lang w:val="en-GB"/>
        </w:rPr>
        <w:t>;</w:t>
      </w:r>
    </w:p>
    <w:p w14:paraId="1133BAB6" w14:textId="77777777" w:rsidR="005F01FB" w:rsidRPr="00065189" w:rsidRDefault="005F01FB" w:rsidP="005F01FB">
      <w:pPr>
        <w:pStyle w:val="Style30"/>
        <w:numPr>
          <w:ilvl w:val="0"/>
          <w:numId w:val="12"/>
        </w:numPr>
        <w:shd w:val="clear" w:color="auto" w:fill="auto"/>
        <w:spacing w:before="120" w:line="276" w:lineRule="auto"/>
        <w:ind w:left="760" w:hanging="601"/>
        <w:rPr>
          <w:rFonts w:ascii="Arial" w:hAnsi="Arial" w:cs="Arial"/>
          <w:sz w:val="20"/>
          <w:szCs w:val="20"/>
          <w:lang w:val="en-GB"/>
        </w:rPr>
      </w:pPr>
      <w:r w:rsidRPr="00065189">
        <w:rPr>
          <w:rFonts w:ascii="Arial" w:hAnsi="Arial" w:cs="Arial"/>
          <w:sz w:val="20"/>
          <w:lang w:val="en-GB"/>
        </w:rPr>
        <w:t>Activities excluded from financing pursuant to the relevant provisions of the Horizon Europe Regulation: research on human cloning for reproductive purposes;</w:t>
      </w:r>
      <w:r w:rsidRPr="00065189">
        <w:rPr>
          <w:rFonts w:ascii="Arial" w:hAnsi="Arial" w:cs="Arial"/>
          <w:spacing w:val="-6"/>
          <w:sz w:val="20"/>
          <w:lang w:val="en-GB"/>
        </w:rPr>
        <w:t xml:space="preserve"> </w:t>
      </w:r>
      <w:r w:rsidRPr="00065189">
        <w:rPr>
          <w:rFonts w:ascii="Arial" w:hAnsi="Arial" w:cs="Arial"/>
          <w:sz w:val="20"/>
          <w:lang w:val="en-GB"/>
        </w:rPr>
        <w:t>activities intended to</w:t>
      </w:r>
      <w:r w:rsidRPr="00065189">
        <w:rPr>
          <w:rFonts w:ascii="Arial" w:hAnsi="Arial" w:cs="Arial"/>
          <w:spacing w:val="-5"/>
          <w:sz w:val="20"/>
          <w:lang w:val="en-GB"/>
        </w:rPr>
        <w:t xml:space="preserve"> modify the genetic heritage of human beings</w:t>
      </w:r>
      <w:r w:rsidRPr="00065189">
        <w:rPr>
          <w:rFonts w:ascii="Arial" w:hAnsi="Arial" w:cs="Arial"/>
          <w:sz w:val="20"/>
          <w:lang w:val="en-GB"/>
        </w:rPr>
        <w:t xml:space="preserve"> which could make such changes heritable; and activities to create human embryos solely for the purpose of research or for the purpose of stem cell procurement, including by means of somatic cell nuclear transfer </w:t>
      </w:r>
      <w:r w:rsidRPr="00065189">
        <w:rPr>
          <w:rFonts w:ascii="Arial" w:hAnsi="Arial" w:cs="Arial"/>
          <w:sz w:val="20"/>
          <w:szCs w:val="20"/>
          <w:lang w:val="en-GB"/>
        </w:rPr>
        <w:t>(SCNT);</w:t>
      </w:r>
    </w:p>
    <w:p w14:paraId="088E865A" w14:textId="77777777" w:rsidR="005F01FB" w:rsidRPr="00065189" w:rsidRDefault="005F01FB" w:rsidP="005F01FB">
      <w:pPr>
        <w:pStyle w:val="Style30"/>
        <w:numPr>
          <w:ilvl w:val="0"/>
          <w:numId w:val="12"/>
        </w:numPr>
        <w:shd w:val="clear" w:color="auto" w:fill="auto"/>
        <w:spacing w:before="120" w:line="276" w:lineRule="auto"/>
        <w:ind w:left="760" w:hanging="601"/>
        <w:rPr>
          <w:rFonts w:ascii="Arial" w:hAnsi="Arial" w:cs="Arial"/>
          <w:sz w:val="20"/>
          <w:szCs w:val="20"/>
          <w:lang w:val="en-GB"/>
        </w:rPr>
      </w:pPr>
      <w:r w:rsidRPr="00065189">
        <w:rPr>
          <w:rFonts w:ascii="Arial" w:hAnsi="Arial" w:cs="Arial"/>
          <w:sz w:val="20"/>
          <w:lang w:val="en-GB"/>
        </w:rPr>
        <w:t>Gambling (production-, construction-, distribution-, processing-, trade- or software-related activities</w:t>
      </w:r>
      <w:r w:rsidRPr="00065189">
        <w:rPr>
          <w:rFonts w:ascii="Arial" w:hAnsi="Arial" w:cs="Arial"/>
          <w:sz w:val="20"/>
          <w:szCs w:val="20"/>
          <w:lang w:val="en-GB"/>
        </w:rPr>
        <w:t>);</w:t>
      </w:r>
    </w:p>
    <w:p w14:paraId="5EC4E0F1" w14:textId="77777777" w:rsidR="005F01FB" w:rsidRPr="00065189" w:rsidRDefault="005F01FB" w:rsidP="005F01FB">
      <w:pPr>
        <w:pStyle w:val="Style30"/>
        <w:numPr>
          <w:ilvl w:val="0"/>
          <w:numId w:val="12"/>
        </w:numPr>
        <w:shd w:val="clear" w:color="auto" w:fill="auto"/>
        <w:spacing w:before="120" w:line="276" w:lineRule="auto"/>
        <w:ind w:left="760" w:hanging="601"/>
        <w:rPr>
          <w:rFonts w:ascii="Arial" w:hAnsi="Arial" w:cs="Arial"/>
          <w:sz w:val="20"/>
          <w:szCs w:val="20"/>
          <w:lang w:val="en-GB"/>
        </w:rPr>
      </w:pPr>
      <w:r w:rsidRPr="00065189">
        <w:rPr>
          <w:rFonts w:ascii="Arial" w:hAnsi="Arial" w:cs="Arial"/>
          <w:sz w:val="20"/>
          <w:lang w:val="en-GB"/>
        </w:rPr>
        <w:t>Sex trade and related infrastructure</w:t>
      </w:r>
      <w:r w:rsidRPr="00065189">
        <w:rPr>
          <w:rFonts w:ascii="Arial" w:hAnsi="Arial" w:cs="Arial"/>
          <w:sz w:val="20"/>
          <w:szCs w:val="20"/>
          <w:lang w:val="en-GB"/>
        </w:rPr>
        <w:t xml:space="preserve"> (including the media related to sex trade);</w:t>
      </w:r>
    </w:p>
    <w:p w14:paraId="41F66ADF" w14:textId="77777777" w:rsidR="005F01FB" w:rsidRPr="00065189" w:rsidRDefault="005F01FB" w:rsidP="005F01FB">
      <w:pPr>
        <w:pStyle w:val="Style30"/>
        <w:numPr>
          <w:ilvl w:val="0"/>
          <w:numId w:val="12"/>
        </w:numPr>
        <w:shd w:val="clear" w:color="auto" w:fill="auto"/>
        <w:spacing w:before="120" w:line="276" w:lineRule="auto"/>
        <w:ind w:left="760" w:hanging="601"/>
        <w:rPr>
          <w:rFonts w:ascii="Arial" w:hAnsi="Arial" w:cs="Arial"/>
          <w:sz w:val="20"/>
          <w:szCs w:val="20"/>
          <w:lang w:val="en-GB"/>
        </w:rPr>
      </w:pPr>
      <w:r w:rsidRPr="00065189">
        <w:rPr>
          <w:rFonts w:ascii="Arial" w:hAnsi="Arial" w:cs="Arial"/>
          <w:sz w:val="20"/>
          <w:lang w:val="en-GB"/>
        </w:rPr>
        <w:t>Activities involving live animals</w:t>
      </w:r>
      <w:r w:rsidRPr="00065189">
        <w:rPr>
          <w:rFonts w:ascii="Arial" w:hAnsi="Arial" w:cs="Arial"/>
          <w:spacing w:val="-1"/>
          <w:sz w:val="20"/>
          <w:lang w:val="en-GB"/>
        </w:rPr>
        <w:t xml:space="preserve"> for experimental and scientific purposes insofar as compliance with the European Convention for the Protection of Vertebrate Animals for Experimental and other Scientific Purposes cannot be guaranteed</w:t>
      </w:r>
      <w:r w:rsidRPr="00065189">
        <w:rPr>
          <w:rFonts w:ascii="Arial" w:hAnsi="Arial" w:cs="Arial"/>
          <w:sz w:val="20"/>
          <w:szCs w:val="20"/>
          <w:lang w:val="en-GB"/>
        </w:rPr>
        <w:t>;</w:t>
      </w:r>
    </w:p>
    <w:p w14:paraId="256EC761" w14:textId="78585A01" w:rsidR="005F01FB" w:rsidRPr="00065189" w:rsidRDefault="005F01FB" w:rsidP="005F01FB">
      <w:pPr>
        <w:pStyle w:val="Style30"/>
        <w:numPr>
          <w:ilvl w:val="0"/>
          <w:numId w:val="12"/>
        </w:numPr>
        <w:shd w:val="clear" w:color="auto" w:fill="auto"/>
        <w:spacing w:before="120" w:line="276" w:lineRule="auto"/>
        <w:ind w:left="760" w:hanging="601"/>
        <w:rPr>
          <w:rFonts w:ascii="Arial" w:hAnsi="Arial" w:cs="Arial"/>
          <w:sz w:val="20"/>
          <w:szCs w:val="20"/>
          <w:lang w:val="en-GB"/>
        </w:rPr>
      </w:pPr>
      <w:r w:rsidRPr="00065189">
        <w:rPr>
          <w:rFonts w:ascii="Arial" w:eastAsia="Times New Roman" w:hAnsi="Arial" w:cs="Arial"/>
          <w:sz w:val="20"/>
          <w:szCs w:val="20"/>
          <w:lang w:val="en-GB" w:bidi="hr-HR"/>
        </w:rPr>
        <w:t>Activities representing exclusive real estate business</w:t>
      </w:r>
      <w:r w:rsidR="00742DA0" w:rsidRPr="00065189">
        <w:rPr>
          <w:rStyle w:val="FootnoteReference"/>
          <w:rFonts w:ascii="Arial" w:eastAsia="Times New Roman" w:hAnsi="Arial" w:cs="Arial"/>
          <w:sz w:val="20"/>
          <w:szCs w:val="20"/>
          <w:lang w:val="en-GB" w:bidi="hr-HR"/>
        </w:rPr>
        <w:footnoteReference w:id="11"/>
      </w:r>
      <w:r w:rsidR="007D565C" w:rsidRPr="00065189">
        <w:rPr>
          <w:rFonts w:ascii="Arial" w:eastAsia="Times New Roman" w:hAnsi="Arial" w:cs="Arial"/>
          <w:sz w:val="20"/>
          <w:szCs w:val="20"/>
          <w:lang w:val="en-GB" w:bidi="hr-HR"/>
        </w:rPr>
        <w:t xml:space="preserve"> or </w:t>
      </w:r>
      <w:r w:rsidRPr="00065189">
        <w:rPr>
          <w:rFonts w:ascii="Arial" w:eastAsia="Times New Roman" w:hAnsi="Arial" w:cs="Arial"/>
          <w:sz w:val="20"/>
          <w:szCs w:val="20"/>
          <w:lang w:val="en-GB" w:bidi="hr-HR"/>
        </w:rPr>
        <w:t xml:space="preserve">real </w:t>
      </w:r>
      <w:r w:rsidRPr="00065189">
        <w:rPr>
          <w:rFonts w:ascii="Arial" w:hAnsi="Arial" w:cs="Arial"/>
          <w:sz w:val="20"/>
          <w:lang w:val="en-GB"/>
        </w:rPr>
        <w:t xml:space="preserve">estate development, such as an activity with a sole purpose of renovating and re-leasing or re-selling existing buildings as well as building new </w:t>
      </w:r>
      <w:r w:rsidR="00B56D56" w:rsidRPr="00065189">
        <w:rPr>
          <w:rFonts w:ascii="Arial" w:hAnsi="Arial" w:cs="Arial"/>
          <w:sz w:val="20"/>
          <w:lang w:val="en-GB"/>
        </w:rPr>
        <w:t xml:space="preserve">facilities </w:t>
      </w:r>
      <w:r w:rsidRPr="00065189">
        <w:rPr>
          <w:rFonts w:ascii="Arial" w:hAnsi="Arial" w:cs="Arial"/>
          <w:sz w:val="20"/>
          <w:lang w:val="en-GB"/>
        </w:rPr>
        <w:t>intended for sale (investments in energy efficiency projects</w:t>
      </w:r>
      <w:r w:rsidRPr="00065189">
        <w:rPr>
          <w:sz w:val="20"/>
          <w:lang w:val="en-GB"/>
        </w:rPr>
        <w:t xml:space="preserve"> </w:t>
      </w:r>
      <w:r w:rsidRPr="00065189">
        <w:rPr>
          <w:rFonts w:ascii="Arial" w:eastAsia="Times New Roman" w:hAnsi="Arial" w:cs="Arial"/>
          <w:sz w:val="20"/>
          <w:szCs w:val="20"/>
          <w:lang w:val="en-GB" w:bidi="hr-HR"/>
        </w:rPr>
        <w:t>are not excluded</w:t>
      </w:r>
      <w:r w:rsidRPr="00065189">
        <w:rPr>
          <w:rStyle w:val="FootnoteReference"/>
          <w:rFonts w:ascii="Arial" w:eastAsia="Times New Roman" w:hAnsi="Arial" w:cs="Arial"/>
          <w:sz w:val="20"/>
          <w:szCs w:val="20"/>
          <w:lang w:val="en-GB" w:bidi="hr-HR"/>
        </w:rPr>
        <w:footnoteReference w:id="12"/>
      </w:r>
      <w:r w:rsidRPr="00065189">
        <w:rPr>
          <w:rFonts w:ascii="Arial" w:eastAsia="Times New Roman" w:hAnsi="Arial" w:cs="Arial"/>
          <w:sz w:val="20"/>
          <w:szCs w:val="20"/>
          <w:lang w:val="en-GB" w:bidi="hr-HR"/>
        </w:rPr>
        <w:t>);</w:t>
      </w:r>
    </w:p>
    <w:p w14:paraId="25E389F7" w14:textId="5BFC931B" w:rsidR="005F01FB" w:rsidRPr="00065189" w:rsidRDefault="005F01FB" w:rsidP="005F01FB">
      <w:pPr>
        <w:pStyle w:val="Style30"/>
        <w:numPr>
          <w:ilvl w:val="0"/>
          <w:numId w:val="12"/>
        </w:numPr>
        <w:shd w:val="clear" w:color="auto" w:fill="auto"/>
        <w:spacing w:before="120" w:line="276" w:lineRule="auto"/>
        <w:ind w:left="760" w:hanging="601"/>
        <w:rPr>
          <w:rFonts w:ascii="Arial" w:eastAsia="Times New Roman" w:hAnsi="Arial" w:cs="Arial"/>
          <w:sz w:val="20"/>
          <w:szCs w:val="20"/>
          <w:lang w:val="en-GB" w:bidi="hr-HR"/>
        </w:rPr>
      </w:pPr>
      <w:r w:rsidRPr="00065189">
        <w:rPr>
          <w:rFonts w:ascii="Arial" w:hAnsi="Arial" w:cs="Arial"/>
          <w:sz w:val="20"/>
          <w:lang w:val="en-GB"/>
        </w:rPr>
        <w:t>Financial activities (e.g. purchasing or trading in securities</w:t>
      </w:r>
      <w:r w:rsidRPr="00065189">
        <w:rPr>
          <w:rFonts w:ascii="Arial" w:eastAsia="Times New Roman" w:hAnsi="Arial" w:cs="Arial"/>
          <w:sz w:val="20"/>
          <w:szCs w:val="20"/>
          <w:lang w:val="en-GB" w:bidi="hr-HR"/>
        </w:rPr>
        <w:t>, financial instruments or other financial products) including change of ownership (e.g. mergers and acquisitions)</w:t>
      </w:r>
      <w:r w:rsidR="00A61D8B" w:rsidRPr="00065189">
        <w:rPr>
          <w:rStyle w:val="FootnoteReference"/>
          <w:rFonts w:ascii="Arial" w:eastAsia="Times New Roman" w:hAnsi="Arial" w:cs="Arial"/>
          <w:sz w:val="20"/>
          <w:szCs w:val="20"/>
          <w:lang w:val="en-GB" w:bidi="hr-HR"/>
        </w:rPr>
        <w:footnoteReference w:id="13"/>
      </w:r>
      <w:r w:rsidRPr="00065189">
        <w:rPr>
          <w:rFonts w:ascii="Arial" w:eastAsia="Times New Roman" w:hAnsi="Arial" w:cs="Arial"/>
          <w:sz w:val="20"/>
          <w:szCs w:val="20"/>
          <w:lang w:val="en-GB" w:bidi="hr-HR"/>
        </w:rPr>
        <w:t xml:space="preserve">. </w:t>
      </w:r>
      <w:r w:rsidRPr="00065189">
        <w:rPr>
          <w:rFonts w:ascii="Arial" w:hAnsi="Arial" w:cs="Arial"/>
          <w:sz w:val="20"/>
          <w:lang w:val="en-GB"/>
        </w:rPr>
        <w:t xml:space="preserve">In particular, </w:t>
      </w:r>
      <w:r w:rsidR="00AD34AE" w:rsidRPr="00065189">
        <w:rPr>
          <w:rFonts w:ascii="Arial" w:hAnsi="Arial" w:cs="Arial"/>
          <w:sz w:val="20"/>
          <w:lang w:val="en-GB"/>
        </w:rPr>
        <w:t xml:space="preserve">activities </w:t>
      </w:r>
      <w:r w:rsidRPr="00065189">
        <w:rPr>
          <w:rFonts w:ascii="Arial" w:hAnsi="Arial" w:cs="Arial"/>
          <w:sz w:val="20"/>
          <w:lang w:val="en-GB"/>
        </w:rPr>
        <w:t xml:space="preserve">targeting buy-out intended for asset stripping or </w:t>
      </w:r>
      <w:r w:rsidR="008959C2" w:rsidRPr="00065189">
        <w:rPr>
          <w:rFonts w:ascii="Arial" w:hAnsi="Arial" w:cs="Arial"/>
          <w:sz w:val="20"/>
          <w:lang w:val="en-GB"/>
        </w:rPr>
        <w:t xml:space="preserve">capital </w:t>
      </w:r>
      <w:r w:rsidRPr="00065189">
        <w:rPr>
          <w:rFonts w:ascii="Arial" w:hAnsi="Arial" w:cs="Arial"/>
          <w:sz w:val="20"/>
          <w:lang w:val="en-GB"/>
        </w:rPr>
        <w:t>replacement intended for asset stripping shall be excluded</w:t>
      </w:r>
      <w:r w:rsidRPr="00065189">
        <w:rPr>
          <w:rFonts w:ascii="Arial" w:eastAsia="Times New Roman" w:hAnsi="Arial" w:cs="Arial"/>
          <w:sz w:val="20"/>
          <w:szCs w:val="20"/>
          <w:lang w:val="en-GB" w:bidi="hr-HR"/>
        </w:rPr>
        <w:t xml:space="preserve">; </w:t>
      </w:r>
    </w:p>
    <w:p w14:paraId="25308546" w14:textId="77777777" w:rsidR="005F01FB" w:rsidRPr="00065189" w:rsidRDefault="005F01FB" w:rsidP="005F01FB">
      <w:pPr>
        <w:pStyle w:val="Style30"/>
        <w:numPr>
          <w:ilvl w:val="0"/>
          <w:numId w:val="12"/>
        </w:numPr>
        <w:shd w:val="clear" w:color="auto" w:fill="auto"/>
        <w:spacing w:before="120" w:line="276" w:lineRule="auto"/>
        <w:ind w:left="760" w:hanging="601"/>
        <w:rPr>
          <w:rFonts w:ascii="Arial" w:hAnsi="Arial" w:cs="Arial"/>
          <w:sz w:val="20"/>
          <w:szCs w:val="20"/>
          <w:lang w:val="en-GB"/>
        </w:rPr>
      </w:pPr>
      <w:r w:rsidRPr="00065189">
        <w:rPr>
          <w:rFonts w:ascii="Arial" w:hAnsi="Arial" w:cs="Arial"/>
          <w:sz w:val="20"/>
          <w:lang w:val="en-GB"/>
        </w:rPr>
        <w:t>Activities forbidden by applicable national legislation</w:t>
      </w:r>
      <w:r w:rsidRPr="00065189">
        <w:rPr>
          <w:rFonts w:ascii="Arial" w:eastAsia="Times New Roman" w:hAnsi="Arial" w:cs="Arial"/>
          <w:sz w:val="20"/>
          <w:szCs w:val="20"/>
          <w:lang w:val="en-GB" w:bidi="hr-HR"/>
        </w:rPr>
        <w:t>;</w:t>
      </w:r>
    </w:p>
    <w:p w14:paraId="51759F47" w14:textId="77777777" w:rsidR="005F01FB" w:rsidRPr="00065189" w:rsidRDefault="005F01FB" w:rsidP="005F01FB">
      <w:pPr>
        <w:pStyle w:val="Style30"/>
        <w:numPr>
          <w:ilvl w:val="0"/>
          <w:numId w:val="12"/>
        </w:numPr>
        <w:shd w:val="clear" w:color="auto" w:fill="auto"/>
        <w:spacing w:before="120" w:line="276" w:lineRule="auto"/>
        <w:ind w:left="760" w:hanging="601"/>
        <w:rPr>
          <w:rFonts w:ascii="Arial" w:hAnsi="Arial" w:cs="Arial"/>
          <w:sz w:val="20"/>
          <w:szCs w:val="20"/>
          <w:lang w:val="en-GB"/>
        </w:rPr>
      </w:pPr>
      <w:r w:rsidRPr="00065189">
        <w:rPr>
          <w:rFonts w:ascii="Arial" w:hAnsi="Arial" w:cs="Arial"/>
          <w:sz w:val="20"/>
          <w:szCs w:val="20"/>
          <w:lang w:val="en-GB"/>
        </w:rPr>
        <w:t>Activities and assets where long-term waste disposal may harm the environment;</w:t>
      </w:r>
    </w:p>
    <w:p w14:paraId="286C4042" w14:textId="77777777" w:rsidR="005F01FB" w:rsidRPr="00065189" w:rsidRDefault="005F01FB" w:rsidP="005F01FB">
      <w:pPr>
        <w:pStyle w:val="Style30"/>
        <w:numPr>
          <w:ilvl w:val="0"/>
          <w:numId w:val="12"/>
        </w:numPr>
        <w:shd w:val="clear" w:color="auto" w:fill="auto"/>
        <w:spacing w:before="120" w:line="276" w:lineRule="auto"/>
        <w:ind w:left="760" w:hanging="601"/>
        <w:rPr>
          <w:rFonts w:ascii="Arial" w:hAnsi="Arial" w:cs="Arial"/>
          <w:sz w:val="20"/>
          <w:szCs w:val="20"/>
          <w:lang w:val="en-GB"/>
        </w:rPr>
      </w:pPr>
      <w:r w:rsidRPr="00065189">
        <w:rPr>
          <w:rFonts w:ascii="Arial" w:eastAsia="Times New Roman" w:hAnsi="Arial" w:cs="Arial"/>
          <w:sz w:val="20"/>
          <w:szCs w:val="20"/>
          <w:lang w:val="en-GB" w:bidi="hr-HR"/>
        </w:rPr>
        <w:t>Activities that have a negative impact on the environment</w:t>
      </w:r>
      <w:r w:rsidRPr="00065189">
        <w:rPr>
          <w:rFonts w:ascii="Arial" w:hAnsi="Arial" w:cs="Arial"/>
          <w:sz w:val="20"/>
          <w:szCs w:val="20"/>
          <w:lang w:val="en-GB"/>
        </w:rPr>
        <w:t>, and are not significantly mitigated or compensated;</w:t>
      </w:r>
    </w:p>
    <w:p w14:paraId="5BE9F92B" w14:textId="294F305A" w:rsidR="005F01FB" w:rsidRPr="00065189" w:rsidRDefault="005F01FB" w:rsidP="005F01FB">
      <w:pPr>
        <w:pStyle w:val="Style30"/>
        <w:numPr>
          <w:ilvl w:val="0"/>
          <w:numId w:val="12"/>
        </w:numPr>
        <w:shd w:val="clear" w:color="auto" w:fill="auto"/>
        <w:spacing w:before="120" w:line="276" w:lineRule="auto"/>
        <w:ind w:left="760" w:hanging="601"/>
        <w:rPr>
          <w:rFonts w:ascii="Arial" w:hAnsi="Arial" w:cs="Arial"/>
          <w:sz w:val="20"/>
          <w:szCs w:val="20"/>
          <w:lang w:val="en-GB"/>
        </w:rPr>
      </w:pPr>
      <w:r w:rsidRPr="00065189">
        <w:rPr>
          <w:rFonts w:ascii="Arial" w:hAnsi="Arial" w:cs="Arial"/>
          <w:sz w:val="20"/>
          <w:lang w:val="en-GB"/>
        </w:rPr>
        <w:t xml:space="preserve">All activities that are not allowed to be financed by aid </w:t>
      </w:r>
      <w:r w:rsidR="00D66121" w:rsidRPr="00065189">
        <w:rPr>
          <w:rFonts w:ascii="Arial" w:hAnsi="Arial" w:cs="Arial"/>
          <w:sz w:val="20"/>
          <w:lang w:val="en-GB"/>
        </w:rPr>
        <w:t xml:space="preserve">under </w:t>
      </w:r>
      <w:r w:rsidRPr="00065189">
        <w:rPr>
          <w:rFonts w:ascii="Arial" w:hAnsi="Arial" w:cs="Arial"/>
          <w:sz w:val="20"/>
          <w:lang w:val="en-GB"/>
        </w:rPr>
        <w:t xml:space="preserve">the relevant state aid </w:t>
      </w:r>
      <w:r w:rsidR="00A47B26" w:rsidRPr="00065189">
        <w:rPr>
          <w:rFonts w:ascii="Arial" w:hAnsi="Arial" w:cs="Arial"/>
          <w:sz w:val="20"/>
          <w:lang w:val="en-GB"/>
        </w:rPr>
        <w:t>r</w:t>
      </w:r>
      <w:r w:rsidR="00ED6611" w:rsidRPr="00065189">
        <w:rPr>
          <w:rFonts w:ascii="Arial" w:hAnsi="Arial" w:cs="Arial"/>
          <w:sz w:val="20"/>
          <w:lang w:val="en-GB"/>
        </w:rPr>
        <w:t>egulations</w:t>
      </w:r>
      <w:r w:rsidRPr="00065189">
        <w:rPr>
          <w:rFonts w:ascii="Arial" w:hAnsi="Arial" w:cs="Arial"/>
          <w:sz w:val="20"/>
          <w:lang w:val="en-GB"/>
        </w:rPr>
        <w:t xml:space="preserve"> such as</w:t>
      </w:r>
      <w:r w:rsidRPr="00065189">
        <w:rPr>
          <w:rFonts w:ascii="Arial" w:hAnsi="Arial" w:cs="Arial"/>
          <w:spacing w:val="-14"/>
          <w:sz w:val="20"/>
          <w:lang w:val="en-GB"/>
        </w:rPr>
        <w:t xml:space="preserve"> </w:t>
      </w:r>
      <w:r w:rsidRPr="00065189">
        <w:rPr>
          <w:rFonts w:ascii="Arial" w:hAnsi="Arial" w:cs="Arial"/>
          <w:sz w:val="20"/>
          <w:lang w:val="en-GB"/>
        </w:rPr>
        <w:t>GBER,</w:t>
      </w:r>
      <w:r w:rsidRPr="00065189">
        <w:rPr>
          <w:rFonts w:ascii="Arial" w:hAnsi="Arial" w:cs="Arial"/>
          <w:spacing w:val="-14"/>
          <w:sz w:val="20"/>
          <w:lang w:val="en-GB"/>
        </w:rPr>
        <w:t xml:space="preserve"> </w:t>
      </w:r>
      <w:r w:rsidRPr="00065189">
        <w:rPr>
          <w:rFonts w:ascii="Arial" w:hAnsi="Arial" w:cs="Arial"/>
          <w:sz w:val="20"/>
          <w:lang w:val="en-GB"/>
        </w:rPr>
        <w:t>ABER,</w:t>
      </w:r>
      <w:r w:rsidRPr="00065189">
        <w:rPr>
          <w:rFonts w:ascii="Arial" w:hAnsi="Arial" w:cs="Arial"/>
          <w:spacing w:val="-14"/>
          <w:sz w:val="20"/>
          <w:lang w:val="en-GB"/>
        </w:rPr>
        <w:t xml:space="preserve"> </w:t>
      </w:r>
      <w:r w:rsidRPr="00065189">
        <w:rPr>
          <w:rFonts w:ascii="Arial" w:hAnsi="Arial" w:cs="Arial"/>
          <w:sz w:val="20"/>
          <w:lang w:val="en-GB"/>
        </w:rPr>
        <w:t>de</w:t>
      </w:r>
      <w:r w:rsidRPr="00065189">
        <w:rPr>
          <w:rFonts w:ascii="Arial" w:hAnsi="Arial" w:cs="Arial"/>
          <w:spacing w:val="-14"/>
          <w:sz w:val="20"/>
          <w:lang w:val="en-GB"/>
        </w:rPr>
        <w:t xml:space="preserve"> </w:t>
      </w:r>
      <w:r w:rsidRPr="00065189">
        <w:rPr>
          <w:rFonts w:ascii="Arial" w:hAnsi="Arial" w:cs="Arial"/>
          <w:sz w:val="20"/>
          <w:lang w:val="en-GB"/>
        </w:rPr>
        <w:t xml:space="preserve">minimis and other </w:t>
      </w:r>
      <w:r w:rsidR="00A47B26" w:rsidRPr="00065189">
        <w:rPr>
          <w:rFonts w:ascii="Arial" w:hAnsi="Arial" w:cs="Arial"/>
          <w:sz w:val="20"/>
          <w:lang w:val="en-GB"/>
        </w:rPr>
        <w:t>rules</w:t>
      </w:r>
      <w:r w:rsidRPr="00065189">
        <w:rPr>
          <w:rFonts w:ascii="Arial" w:hAnsi="Arial" w:cs="Arial"/>
          <w:sz w:val="20"/>
          <w:lang w:val="en-GB"/>
        </w:rPr>
        <w:t xml:space="preserve"> applicable to a particular loan</w:t>
      </w:r>
      <w:r w:rsidRPr="00065189">
        <w:rPr>
          <w:rFonts w:ascii="Arial" w:hAnsi="Arial" w:cs="Arial"/>
          <w:sz w:val="20"/>
          <w:szCs w:val="20"/>
          <w:lang w:val="en-GB"/>
        </w:rPr>
        <w:t>;</w:t>
      </w:r>
    </w:p>
    <w:p w14:paraId="7990A883" w14:textId="77777777" w:rsidR="00543F5B" w:rsidRPr="00065189" w:rsidRDefault="005F01FB" w:rsidP="00543F5B">
      <w:pPr>
        <w:pStyle w:val="Style30"/>
        <w:numPr>
          <w:ilvl w:val="0"/>
          <w:numId w:val="12"/>
        </w:numPr>
        <w:shd w:val="clear" w:color="auto" w:fill="auto"/>
        <w:spacing w:before="120" w:line="276" w:lineRule="auto"/>
        <w:ind w:left="760" w:hanging="601"/>
        <w:rPr>
          <w:rFonts w:ascii="Arial" w:hAnsi="Arial" w:cs="Arial"/>
          <w:sz w:val="20"/>
          <w:szCs w:val="20"/>
          <w:lang w:val="en-GB"/>
        </w:rPr>
      </w:pPr>
      <w:r w:rsidRPr="00065189">
        <w:rPr>
          <w:rFonts w:ascii="Arial" w:hAnsi="Arial" w:cs="Arial"/>
          <w:sz w:val="20"/>
          <w:lang w:val="en-GB"/>
        </w:rPr>
        <w:t>All prohibitions and restrictions in accordance with the contracts between</w:t>
      </w:r>
      <w:r w:rsidRPr="00065189">
        <w:rPr>
          <w:rFonts w:ascii="Arial" w:hAnsi="Arial" w:cs="Arial"/>
          <w:spacing w:val="-10"/>
          <w:sz w:val="20"/>
          <w:lang w:val="en-GB"/>
        </w:rPr>
        <w:t xml:space="preserve"> </w:t>
      </w:r>
      <w:r w:rsidRPr="00065189">
        <w:rPr>
          <w:rFonts w:ascii="Arial" w:hAnsi="Arial" w:cs="Arial"/>
          <w:sz w:val="20"/>
          <w:lang w:val="en-GB"/>
        </w:rPr>
        <w:t>HBOR</w:t>
      </w:r>
      <w:r w:rsidRPr="00065189">
        <w:rPr>
          <w:rFonts w:ascii="Arial" w:eastAsia="Times New Roman" w:hAnsi="Arial" w:cs="Arial"/>
          <w:sz w:val="20"/>
          <w:szCs w:val="20"/>
          <w:lang w:val="en-GB" w:bidi="hr-HR"/>
        </w:rPr>
        <w:t xml:space="preserve"> and financial </w:t>
      </w:r>
      <w:r w:rsidRPr="00065189">
        <w:rPr>
          <w:rFonts w:ascii="Arial" w:eastAsia="Times New Roman" w:hAnsi="Arial" w:cs="Arial"/>
          <w:sz w:val="20"/>
          <w:szCs w:val="20"/>
          <w:lang w:val="en-GB" w:bidi="hr-HR"/>
        </w:rPr>
        <w:lastRenderedPageBreak/>
        <w:t>institutions and/or in accordance with the programmes and/or other documents applicable to a particular loan.</w:t>
      </w:r>
    </w:p>
    <w:p w14:paraId="22D20C1D" w14:textId="31AA9E88" w:rsidR="005F01FB" w:rsidRPr="00065189" w:rsidRDefault="005F01FB" w:rsidP="00543F5B">
      <w:pPr>
        <w:pStyle w:val="Style30"/>
        <w:numPr>
          <w:ilvl w:val="0"/>
          <w:numId w:val="12"/>
        </w:numPr>
        <w:shd w:val="clear" w:color="auto" w:fill="auto"/>
        <w:spacing w:before="120" w:line="276" w:lineRule="auto"/>
        <w:ind w:left="760" w:hanging="601"/>
        <w:rPr>
          <w:rFonts w:ascii="Arial" w:hAnsi="Arial" w:cs="Arial"/>
          <w:sz w:val="20"/>
          <w:szCs w:val="20"/>
          <w:lang w:val="en-GB"/>
        </w:rPr>
      </w:pPr>
      <w:r w:rsidRPr="00065189">
        <w:rPr>
          <w:rFonts w:ascii="Arial" w:hAnsi="Arial" w:cs="Arial"/>
          <w:sz w:val="20"/>
          <w:szCs w:val="20"/>
          <w:lang w:val="en-GB"/>
        </w:rPr>
        <w:t>Investments or part of investments that serve for personal purposes;</w:t>
      </w:r>
    </w:p>
    <w:p w14:paraId="6F277499" w14:textId="4CD20D13" w:rsidR="005F01FB" w:rsidRPr="00065189" w:rsidRDefault="005F01FB" w:rsidP="005F01FB">
      <w:pPr>
        <w:pStyle w:val="Style30"/>
        <w:numPr>
          <w:ilvl w:val="0"/>
          <w:numId w:val="12"/>
        </w:numPr>
        <w:shd w:val="clear" w:color="auto" w:fill="auto"/>
        <w:spacing w:before="120" w:line="276" w:lineRule="auto"/>
        <w:ind w:left="760" w:hanging="601"/>
        <w:rPr>
          <w:rFonts w:ascii="Arial" w:hAnsi="Arial" w:cs="Arial"/>
          <w:sz w:val="20"/>
          <w:szCs w:val="20"/>
          <w:lang w:val="en-GB"/>
        </w:rPr>
      </w:pPr>
      <w:r w:rsidRPr="00065189">
        <w:rPr>
          <w:rFonts w:ascii="Arial" w:hAnsi="Arial" w:cs="Arial"/>
          <w:sz w:val="20"/>
          <w:szCs w:val="20"/>
          <w:lang w:val="en-GB"/>
        </w:rPr>
        <w:t xml:space="preserve">Purchase of immovable or moveable property from </w:t>
      </w:r>
      <w:r w:rsidR="002151D6" w:rsidRPr="00065189">
        <w:rPr>
          <w:rFonts w:ascii="Arial" w:hAnsi="Arial" w:cs="Arial"/>
          <w:sz w:val="20"/>
          <w:szCs w:val="20"/>
          <w:lang w:val="en-GB"/>
        </w:rPr>
        <w:t>associated</w:t>
      </w:r>
      <w:r w:rsidRPr="00065189">
        <w:rPr>
          <w:rFonts w:ascii="Arial" w:hAnsi="Arial" w:cs="Arial"/>
          <w:sz w:val="20"/>
          <w:szCs w:val="20"/>
          <w:lang w:val="en-GB"/>
        </w:rPr>
        <w:t xml:space="preserve"> entities;</w:t>
      </w:r>
    </w:p>
    <w:p w14:paraId="57B0F709" w14:textId="77777777" w:rsidR="005F01FB" w:rsidRPr="00065189" w:rsidRDefault="005F01FB" w:rsidP="005F01FB">
      <w:pPr>
        <w:pStyle w:val="Style30"/>
        <w:numPr>
          <w:ilvl w:val="0"/>
          <w:numId w:val="12"/>
        </w:numPr>
        <w:shd w:val="clear" w:color="auto" w:fill="auto"/>
        <w:spacing w:before="120" w:line="276" w:lineRule="auto"/>
        <w:ind w:left="760" w:hanging="601"/>
        <w:rPr>
          <w:rFonts w:ascii="Arial" w:hAnsi="Arial" w:cs="Arial"/>
          <w:sz w:val="20"/>
          <w:szCs w:val="20"/>
          <w:lang w:val="en-GB"/>
        </w:rPr>
      </w:pPr>
      <w:r w:rsidRPr="00065189">
        <w:rPr>
          <w:rFonts w:ascii="Arial" w:hAnsi="Arial" w:cs="Arial"/>
          <w:sz w:val="20"/>
          <w:szCs w:val="20"/>
          <w:lang w:val="en-GB"/>
        </w:rPr>
        <w:t>Investment in immovable property not owned by the borrower</w:t>
      </w:r>
      <w:r w:rsidRPr="00065189">
        <w:rPr>
          <w:rStyle w:val="FootnoteReference"/>
          <w:rFonts w:ascii="Arial" w:hAnsi="Arial" w:cs="Arial"/>
          <w:sz w:val="20"/>
          <w:szCs w:val="20"/>
          <w:lang w:val="en-GB"/>
        </w:rPr>
        <w:footnoteReference w:id="14"/>
      </w:r>
      <w:r w:rsidRPr="00065189">
        <w:rPr>
          <w:rFonts w:ascii="Arial" w:hAnsi="Arial" w:cs="Arial"/>
          <w:sz w:val="20"/>
          <w:szCs w:val="20"/>
          <w:lang w:val="en-GB"/>
        </w:rPr>
        <w:t>;</w:t>
      </w:r>
    </w:p>
    <w:p w14:paraId="3B01EC03" w14:textId="6AC9520F" w:rsidR="005F01FB" w:rsidRPr="00065189" w:rsidRDefault="005F01FB" w:rsidP="005F01FB">
      <w:pPr>
        <w:pStyle w:val="Style30"/>
        <w:numPr>
          <w:ilvl w:val="0"/>
          <w:numId w:val="12"/>
        </w:numPr>
        <w:shd w:val="clear" w:color="auto" w:fill="auto"/>
        <w:spacing w:before="120" w:line="276" w:lineRule="auto"/>
        <w:ind w:left="760" w:hanging="601"/>
        <w:rPr>
          <w:rFonts w:ascii="Arial" w:hAnsi="Arial" w:cs="Arial"/>
          <w:sz w:val="20"/>
          <w:szCs w:val="20"/>
          <w:lang w:val="en-GB"/>
        </w:rPr>
      </w:pPr>
      <w:r w:rsidRPr="00065189">
        <w:rPr>
          <w:rFonts w:ascii="Arial" w:hAnsi="Arial" w:cs="Arial"/>
          <w:sz w:val="20"/>
          <w:szCs w:val="20"/>
          <w:lang w:val="en-GB"/>
        </w:rPr>
        <w:t xml:space="preserve">Refinancing of existing loans </w:t>
      </w:r>
      <w:r w:rsidR="00A47B26" w:rsidRPr="00065189">
        <w:rPr>
          <w:rFonts w:ascii="Arial" w:hAnsi="Arial" w:cs="Arial"/>
          <w:sz w:val="20"/>
          <w:szCs w:val="20"/>
          <w:lang w:val="en-GB"/>
        </w:rPr>
        <w:t>in the case of</w:t>
      </w:r>
      <w:r w:rsidRPr="00065189">
        <w:rPr>
          <w:rFonts w:ascii="Arial" w:hAnsi="Arial" w:cs="Arial"/>
          <w:sz w:val="20"/>
          <w:szCs w:val="20"/>
          <w:lang w:val="en-GB"/>
        </w:rPr>
        <w:t xml:space="preserve"> capital investments;</w:t>
      </w:r>
    </w:p>
    <w:p w14:paraId="53C7FD77" w14:textId="667AB623" w:rsidR="005F01FB" w:rsidRPr="00065189" w:rsidRDefault="005F01FB" w:rsidP="005F01FB">
      <w:pPr>
        <w:pStyle w:val="Style30"/>
        <w:numPr>
          <w:ilvl w:val="0"/>
          <w:numId w:val="12"/>
        </w:numPr>
        <w:shd w:val="clear" w:color="auto" w:fill="auto"/>
        <w:spacing w:before="120" w:line="276" w:lineRule="auto"/>
        <w:ind w:left="760" w:hanging="601"/>
        <w:rPr>
          <w:rFonts w:ascii="Arial" w:hAnsi="Arial" w:cs="Arial"/>
          <w:sz w:val="20"/>
          <w:szCs w:val="20"/>
          <w:lang w:val="en-GB"/>
        </w:rPr>
      </w:pPr>
      <w:r w:rsidRPr="00065189">
        <w:rPr>
          <w:rFonts w:ascii="Arial" w:hAnsi="Arial" w:cs="Arial"/>
          <w:sz w:val="20"/>
          <w:szCs w:val="20"/>
          <w:lang w:val="en-GB"/>
        </w:rPr>
        <w:t xml:space="preserve">Financing of working capital for </w:t>
      </w:r>
      <w:r w:rsidR="00EB7CB5" w:rsidRPr="00065189">
        <w:rPr>
          <w:rFonts w:ascii="Arial" w:hAnsi="Arial" w:cs="Arial"/>
          <w:sz w:val="20"/>
          <w:szCs w:val="20"/>
          <w:lang w:val="en-GB"/>
        </w:rPr>
        <w:t>trade</w:t>
      </w:r>
      <w:r w:rsidRPr="00065189">
        <w:rPr>
          <w:rFonts w:ascii="Arial" w:hAnsi="Arial" w:cs="Arial"/>
          <w:sz w:val="20"/>
          <w:szCs w:val="20"/>
          <w:lang w:val="en-GB"/>
        </w:rPr>
        <w:t xml:space="preserve"> activities</w:t>
      </w:r>
      <w:r w:rsidRPr="00065189">
        <w:rPr>
          <w:rStyle w:val="FootnoteReference"/>
          <w:rFonts w:ascii="Arial" w:hAnsi="Arial" w:cs="Arial"/>
          <w:sz w:val="20"/>
          <w:szCs w:val="20"/>
          <w:lang w:val="en-GB"/>
        </w:rPr>
        <w:footnoteReference w:id="15"/>
      </w:r>
      <w:r w:rsidRPr="00065189">
        <w:rPr>
          <w:rFonts w:ascii="Arial" w:hAnsi="Arial" w:cs="Arial"/>
          <w:sz w:val="20"/>
          <w:szCs w:val="20"/>
          <w:lang w:val="en-GB"/>
        </w:rPr>
        <w:t>;</w:t>
      </w:r>
    </w:p>
    <w:p w14:paraId="3A5397EC" w14:textId="77777777" w:rsidR="005F01FB" w:rsidRPr="00065189" w:rsidRDefault="005F01FB" w:rsidP="005F01FB">
      <w:pPr>
        <w:pStyle w:val="Style30"/>
        <w:numPr>
          <w:ilvl w:val="0"/>
          <w:numId w:val="12"/>
        </w:numPr>
        <w:shd w:val="clear" w:color="auto" w:fill="auto"/>
        <w:spacing w:before="120" w:line="276" w:lineRule="auto"/>
        <w:ind w:left="760" w:hanging="601"/>
        <w:rPr>
          <w:rFonts w:ascii="Arial" w:hAnsi="Arial" w:cs="Arial"/>
          <w:sz w:val="20"/>
          <w:szCs w:val="20"/>
          <w:lang w:val="en-GB"/>
        </w:rPr>
      </w:pPr>
      <w:r w:rsidRPr="00065189">
        <w:rPr>
          <w:rFonts w:ascii="Arial" w:hAnsi="Arial" w:cs="Arial"/>
          <w:sz w:val="20"/>
          <w:szCs w:val="20"/>
          <w:lang w:val="en-GB"/>
        </w:rPr>
        <w:t>Investment in apartments, rooms or summer houses to let</w:t>
      </w:r>
      <w:r w:rsidRPr="00065189">
        <w:rPr>
          <w:rStyle w:val="FootnoteReference"/>
          <w:rFonts w:ascii="Arial" w:hAnsi="Arial" w:cs="Arial"/>
          <w:sz w:val="20"/>
          <w:szCs w:val="20"/>
          <w:lang w:val="en-GB"/>
        </w:rPr>
        <w:footnoteReference w:id="16"/>
      </w:r>
      <w:r w:rsidRPr="00065189">
        <w:rPr>
          <w:rFonts w:ascii="Arial" w:hAnsi="Arial" w:cs="Arial"/>
          <w:sz w:val="20"/>
          <w:szCs w:val="20"/>
          <w:lang w:val="en-GB"/>
        </w:rPr>
        <w:t>;</w:t>
      </w:r>
    </w:p>
    <w:p w14:paraId="33F7FC78" w14:textId="56FB010D" w:rsidR="005F01FB" w:rsidRPr="00065189" w:rsidRDefault="005F01FB" w:rsidP="005F01FB">
      <w:pPr>
        <w:pStyle w:val="Style30"/>
        <w:numPr>
          <w:ilvl w:val="0"/>
          <w:numId w:val="12"/>
        </w:numPr>
        <w:shd w:val="clear" w:color="auto" w:fill="auto"/>
        <w:spacing w:before="120" w:line="276" w:lineRule="auto"/>
        <w:ind w:left="760" w:hanging="601"/>
        <w:rPr>
          <w:rFonts w:ascii="Arial" w:hAnsi="Arial" w:cs="Arial"/>
          <w:sz w:val="20"/>
          <w:szCs w:val="20"/>
          <w:lang w:val="en-GB"/>
        </w:rPr>
      </w:pPr>
      <w:r w:rsidRPr="00065189">
        <w:rPr>
          <w:rFonts w:ascii="Arial" w:hAnsi="Arial" w:cs="Arial"/>
          <w:sz w:val="20"/>
          <w:szCs w:val="20"/>
          <w:lang w:val="en-GB"/>
        </w:rPr>
        <w:t xml:space="preserve">Notary </w:t>
      </w:r>
      <w:r w:rsidR="001E6554" w:rsidRPr="00065189">
        <w:rPr>
          <w:rFonts w:ascii="Arial" w:hAnsi="Arial" w:cs="Arial"/>
          <w:sz w:val="20"/>
          <w:szCs w:val="20"/>
          <w:lang w:val="en-GB"/>
        </w:rPr>
        <w:t xml:space="preserve">public </w:t>
      </w:r>
      <w:r w:rsidRPr="00065189">
        <w:rPr>
          <w:rFonts w:ascii="Arial" w:hAnsi="Arial" w:cs="Arial"/>
          <w:sz w:val="20"/>
          <w:szCs w:val="20"/>
          <w:lang w:val="en-GB"/>
        </w:rPr>
        <w:t>activity;</w:t>
      </w:r>
    </w:p>
    <w:p w14:paraId="4B9D693A" w14:textId="77777777" w:rsidR="005F01FB" w:rsidRPr="00065189" w:rsidRDefault="005F01FB" w:rsidP="005F01FB">
      <w:pPr>
        <w:pStyle w:val="Style30"/>
        <w:numPr>
          <w:ilvl w:val="0"/>
          <w:numId w:val="12"/>
        </w:numPr>
        <w:shd w:val="clear" w:color="auto" w:fill="auto"/>
        <w:spacing w:before="120" w:line="276" w:lineRule="auto"/>
        <w:ind w:left="760" w:hanging="601"/>
        <w:rPr>
          <w:rFonts w:ascii="Arial" w:hAnsi="Arial" w:cs="Arial"/>
          <w:sz w:val="20"/>
          <w:szCs w:val="20"/>
          <w:lang w:val="en-GB"/>
        </w:rPr>
      </w:pPr>
      <w:r w:rsidRPr="00065189">
        <w:rPr>
          <w:rFonts w:ascii="Arial" w:hAnsi="Arial" w:cs="Arial"/>
          <w:sz w:val="20"/>
          <w:szCs w:val="20"/>
          <w:lang w:val="en-GB"/>
        </w:rPr>
        <w:t>Publishing of newspapers and other periodicals, production and broadcasting of radio and television programmes, news agency activities, advertising and public relations agency activities;</w:t>
      </w:r>
    </w:p>
    <w:p w14:paraId="70DAA38B" w14:textId="77777777" w:rsidR="005F01FB" w:rsidRPr="00065189" w:rsidRDefault="005F01FB" w:rsidP="005F01FB">
      <w:pPr>
        <w:pStyle w:val="Style30"/>
        <w:numPr>
          <w:ilvl w:val="0"/>
          <w:numId w:val="12"/>
        </w:numPr>
        <w:shd w:val="clear" w:color="auto" w:fill="auto"/>
        <w:spacing w:before="120" w:line="276" w:lineRule="auto"/>
        <w:ind w:left="760" w:hanging="601"/>
        <w:rPr>
          <w:rFonts w:ascii="Arial" w:hAnsi="Arial" w:cs="Arial"/>
          <w:sz w:val="20"/>
          <w:szCs w:val="20"/>
          <w:lang w:val="en-GB"/>
        </w:rPr>
      </w:pPr>
      <w:r w:rsidRPr="00065189">
        <w:rPr>
          <w:rFonts w:ascii="Arial" w:hAnsi="Arial" w:cs="Arial"/>
          <w:sz w:val="20"/>
          <w:szCs w:val="20"/>
          <w:lang w:val="en-GB"/>
        </w:rPr>
        <w:t>Hospitality facilities providing exclusively drink service;</w:t>
      </w:r>
    </w:p>
    <w:p w14:paraId="13EC4344" w14:textId="083F2427" w:rsidR="00E9769D" w:rsidRPr="00065189" w:rsidRDefault="005F01FB" w:rsidP="006861DF">
      <w:pPr>
        <w:pStyle w:val="Style30"/>
        <w:numPr>
          <w:ilvl w:val="0"/>
          <w:numId w:val="12"/>
        </w:numPr>
        <w:shd w:val="clear" w:color="auto" w:fill="auto"/>
        <w:spacing w:before="120" w:line="276" w:lineRule="auto"/>
        <w:ind w:left="760" w:hanging="601"/>
        <w:rPr>
          <w:rFonts w:ascii="Arial" w:hAnsi="Arial" w:cs="Arial"/>
          <w:sz w:val="20"/>
          <w:szCs w:val="20"/>
          <w:lang w:val="en-GB"/>
        </w:rPr>
      </w:pPr>
      <w:r w:rsidRPr="00065189">
        <w:rPr>
          <w:rFonts w:ascii="Arial" w:eastAsiaTheme="minorHAnsi" w:hAnsi="Arial" w:cs="Arial"/>
          <w:sz w:val="20"/>
          <w:lang w:val="en-GB" w:eastAsia="en-US"/>
        </w:rPr>
        <w:t>Family-run residential care homes in accordance with the Social Welfare Act</w:t>
      </w:r>
      <w:r w:rsidRPr="00065189">
        <w:rPr>
          <w:rStyle w:val="FootnoteReference"/>
          <w:rFonts w:ascii="Arial" w:eastAsiaTheme="minorHAnsi" w:hAnsi="Arial" w:cs="Arial"/>
          <w:sz w:val="20"/>
          <w:lang w:val="en-GB" w:eastAsia="en-US"/>
        </w:rPr>
        <w:footnoteReference w:id="17"/>
      </w:r>
      <w:r w:rsidRPr="00065189">
        <w:rPr>
          <w:rFonts w:ascii="Arial" w:eastAsiaTheme="minorHAnsi" w:hAnsi="Arial" w:cs="Arial"/>
          <w:sz w:val="20"/>
          <w:lang w:val="en-GB" w:eastAsia="en-US"/>
        </w:rPr>
        <w:t>.</w:t>
      </w:r>
    </w:p>
    <w:p w14:paraId="33133193" w14:textId="7BA5FBFF" w:rsidR="00F33EB9" w:rsidRPr="00065189" w:rsidRDefault="00F33EB9" w:rsidP="00E9769D">
      <w:pPr>
        <w:pStyle w:val="Style30"/>
        <w:shd w:val="clear" w:color="auto" w:fill="auto"/>
        <w:spacing w:before="120" w:line="276" w:lineRule="auto"/>
        <w:ind w:left="760" w:firstLine="0"/>
        <w:rPr>
          <w:rFonts w:ascii="Arial" w:hAnsi="Arial" w:cs="Arial"/>
          <w:sz w:val="20"/>
          <w:szCs w:val="20"/>
          <w:lang w:val="en-GB"/>
        </w:rPr>
      </w:pPr>
    </w:p>
    <w:sectPr w:rsidR="00F33EB9" w:rsidRPr="00065189" w:rsidSect="00E26BA8">
      <w:footerReference w:type="default" r:id="rId15"/>
      <w:headerReference w:type="first" r:id="rId16"/>
      <w:footerReference w:type="first" r:id="rId17"/>
      <w:pgSz w:w="11907" w:h="16840" w:code="9"/>
      <w:pgMar w:top="1361" w:right="1418" w:bottom="136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04B8" w14:textId="77777777" w:rsidR="000143BF" w:rsidRDefault="000143BF" w:rsidP="006372FA">
      <w:r>
        <w:separator/>
      </w:r>
    </w:p>
  </w:endnote>
  <w:endnote w:type="continuationSeparator" w:id="0">
    <w:p w14:paraId="19F16825" w14:textId="77777777" w:rsidR="000143BF" w:rsidRDefault="000143BF" w:rsidP="006372FA">
      <w:r>
        <w:continuationSeparator/>
      </w:r>
    </w:p>
  </w:endnote>
  <w:endnote w:type="continuationNotice" w:id="1">
    <w:p w14:paraId="58B2DBE2" w14:textId="77777777" w:rsidR="000143BF" w:rsidRDefault="00014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574892"/>
      <w:docPartObj>
        <w:docPartGallery w:val="Page Numbers (Bottom of Page)"/>
        <w:docPartUnique/>
      </w:docPartObj>
    </w:sdtPr>
    <w:sdtEndPr/>
    <w:sdtContent>
      <w:p w14:paraId="748B7774" w14:textId="02331942" w:rsidR="009B4C44" w:rsidRDefault="009B4C44">
        <w:pPr>
          <w:pStyle w:val="Footer"/>
          <w:jc w:val="right"/>
        </w:pPr>
        <w:r>
          <w:fldChar w:fldCharType="begin"/>
        </w:r>
        <w:r>
          <w:instrText>PAGE   \* MERGEFORMAT</w:instrText>
        </w:r>
        <w:r>
          <w:fldChar w:fldCharType="separate"/>
        </w:r>
        <w:r>
          <w:t>2</w:t>
        </w:r>
        <w:r>
          <w:fldChar w:fldCharType="end"/>
        </w:r>
        <w:r w:rsidR="00941A73">
          <w:t>/</w:t>
        </w:r>
        <w:r w:rsidR="00D2306E">
          <w:t>1</w:t>
        </w:r>
        <w:r w:rsidR="00574765">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66507"/>
      <w:docPartObj>
        <w:docPartGallery w:val="Page Numbers (Bottom of Page)"/>
        <w:docPartUnique/>
      </w:docPartObj>
    </w:sdtPr>
    <w:sdtEndPr/>
    <w:sdtContent>
      <w:sdt>
        <w:sdtPr>
          <w:id w:val="-1769616900"/>
          <w:docPartObj>
            <w:docPartGallery w:val="Page Numbers (Top of Page)"/>
            <w:docPartUnique/>
          </w:docPartObj>
        </w:sdtPr>
        <w:sdtEndPr/>
        <w:sdtContent>
          <w:p w14:paraId="325F82B1" w14:textId="7D67D286" w:rsidR="00D2306E" w:rsidRPr="00D2306E" w:rsidRDefault="00D2306E">
            <w:pPr>
              <w:pStyle w:val="Footer"/>
              <w:jc w:val="right"/>
            </w:pPr>
            <w:r w:rsidRPr="00D2306E">
              <w:rPr>
                <w:sz w:val="24"/>
                <w:szCs w:val="24"/>
              </w:rPr>
              <w:fldChar w:fldCharType="begin"/>
            </w:r>
            <w:r w:rsidRPr="00D2306E">
              <w:instrText xml:space="preserve"> PAGE </w:instrText>
            </w:r>
            <w:r w:rsidRPr="00D2306E">
              <w:rPr>
                <w:sz w:val="24"/>
                <w:szCs w:val="24"/>
              </w:rPr>
              <w:fldChar w:fldCharType="separate"/>
            </w:r>
            <w:r w:rsidRPr="00D2306E">
              <w:rPr>
                <w:noProof/>
              </w:rPr>
              <w:t>2</w:t>
            </w:r>
            <w:r w:rsidRPr="00D2306E">
              <w:rPr>
                <w:sz w:val="24"/>
                <w:szCs w:val="24"/>
              </w:rPr>
              <w:fldChar w:fldCharType="end"/>
            </w:r>
            <w:r w:rsidRPr="00D2306E">
              <w:rPr>
                <w:sz w:val="24"/>
                <w:szCs w:val="24"/>
              </w:rPr>
              <w:t>/</w:t>
            </w:r>
            <w:r w:rsidR="00BF1E03">
              <w:fldChar w:fldCharType="begin"/>
            </w:r>
            <w:r w:rsidR="00BF1E03">
              <w:instrText xml:space="preserve"> NUMPAGES  </w:instrText>
            </w:r>
            <w:r w:rsidR="00BF1E03">
              <w:fldChar w:fldCharType="separate"/>
            </w:r>
            <w:r w:rsidRPr="00D2306E">
              <w:rPr>
                <w:noProof/>
              </w:rPr>
              <w:t>2</w:t>
            </w:r>
            <w:r w:rsidR="00BF1E03">
              <w:rPr>
                <w:noProof/>
              </w:rPr>
              <w:fldChar w:fldCharType="end"/>
            </w:r>
          </w:p>
        </w:sdtContent>
      </w:sdt>
    </w:sdtContent>
  </w:sdt>
  <w:p w14:paraId="78CB6FBE" w14:textId="63902E83" w:rsidR="001947DC" w:rsidRPr="002A4A4D" w:rsidRDefault="002A4A4D" w:rsidP="00D2306E">
    <w:pPr>
      <w:pStyle w:val="Footer"/>
      <w:rPr>
        <w:lang w:val="en-GB"/>
      </w:rPr>
    </w:pPr>
    <w:r w:rsidRPr="002A4A4D">
      <w:rPr>
        <w:sz w:val="16"/>
        <w:szCs w:val="16"/>
        <w:lang w:val="en-GB"/>
      </w:rPr>
      <w:t xml:space="preserve">In effect as of </w:t>
    </w:r>
    <w:r w:rsidR="006E7CB5" w:rsidRPr="002A4A4D">
      <w:rPr>
        <w:sz w:val="16"/>
        <w:szCs w:val="16"/>
        <w:lang w:val="en-GB"/>
      </w:rPr>
      <w:t>2</w:t>
    </w:r>
    <w:r w:rsidR="00E471EF">
      <w:rPr>
        <w:sz w:val="16"/>
        <w:szCs w:val="16"/>
        <w:lang w:val="en-GB"/>
      </w:rPr>
      <w:t xml:space="preserve"> June</w:t>
    </w:r>
    <w:r>
      <w:rPr>
        <w:sz w:val="16"/>
        <w:szCs w:val="16"/>
        <w:lang w:val="en-GB"/>
      </w:rPr>
      <w:t xml:space="preserve"> </w:t>
    </w:r>
    <w:r w:rsidR="009E43A3" w:rsidRPr="002A4A4D">
      <w:rPr>
        <w:sz w:val="16"/>
        <w:szCs w:val="16"/>
        <w:lang w:val="en-GB"/>
      </w:rPr>
      <w:t>202</w:t>
    </w:r>
    <w:r w:rsidR="00E471EF">
      <w:rPr>
        <w:sz w:val="16"/>
        <w:szCs w:val="16"/>
        <w:lang w:val="en-GB"/>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135EC" w14:textId="77777777" w:rsidR="000143BF" w:rsidRDefault="000143BF" w:rsidP="006372FA">
      <w:r>
        <w:separator/>
      </w:r>
    </w:p>
  </w:footnote>
  <w:footnote w:type="continuationSeparator" w:id="0">
    <w:p w14:paraId="5FDD4699" w14:textId="77777777" w:rsidR="000143BF" w:rsidRDefault="000143BF" w:rsidP="006372FA">
      <w:r>
        <w:continuationSeparator/>
      </w:r>
    </w:p>
  </w:footnote>
  <w:footnote w:type="continuationNotice" w:id="1">
    <w:p w14:paraId="23B9AEC5" w14:textId="77777777" w:rsidR="000143BF" w:rsidRDefault="000143BF"/>
  </w:footnote>
  <w:footnote w:id="2">
    <w:p w14:paraId="4DB05857" w14:textId="77777777" w:rsidR="0094020A" w:rsidRPr="00C02FEE" w:rsidRDefault="0094020A" w:rsidP="0094020A">
      <w:pPr>
        <w:pStyle w:val="FootnoteText"/>
        <w:spacing w:before="120"/>
        <w:rPr>
          <w:rFonts w:ascii="Arial Narrow" w:hAnsi="Arial Narrow"/>
          <w:sz w:val="18"/>
          <w:szCs w:val="18"/>
          <w:lang w:val="en-GB"/>
        </w:rPr>
      </w:pPr>
      <w:r w:rsidRPr="00C02FEE">
        <w:rPr>
          <w:rStyle w:val="FootnoteReference"/>
          <w:rFonts w:cs="Arial"/>
          <w:lang w:val="en-GB"/>
        </w:rPr>
        <w:footnoteRef/>
      </w:r>
      <w:r w:rsidRPr="00C02FEE">
        <w:rPr>
          <w:rFonts w:cs="Arial"/>
          <w:lang w:val="en-GB"/>
        </w:rPr>
        <w:t xml:space="preserve"> </w:t>
      </w:r>
      <w:r w:rsidRPr="00C02FEE">
        <w:rPr>
          <w:rFonts w:cs="Arial"/>
          <w:sz w:val="18"/>
          <w:szCs w:val="18"/>
          <w:lang w:val="en-GB"/>
        </w:rPr>
        <w:t>RDI - Research, Development and Innovation</w:t>
      </w:r>
    </w:p>
  </w:footnote>
  <w:footnote w:id="3">
    <w:p w14:paraId="2515FA2F" w14:textId="0B8DAFC0" w:rsidR="00F60857" w:rsidRPr="00DA5F1A" w:rsidRDefault="00F60857" w:rsidP="00F60857">
      <w:pPr>
        <w:pStyle w:val="FootnoteText"/>
        <w:rPr>
          <w:rFonts w:cs="Arial"/>
          <w:sz w:val="18"/>
          <w:szCs w:val="18"/>
          <w:lang w:val="en-GB"/>
        </w:rPr>
      </w:pPr>
      <w:r w:rsidRPr="00DA5F1A">
        <w:rPr>
          <w:rStyle w:val="FootnoteReference"/>
          <w:rFonts w:cs="Arial"/>
          <w:lang w:val="en-GB"/>
        </w:rPr>
        <w:footnoteRef/>
      </w:r>
      <w:r w:rsidRPr="00DA5F1A">
        <w:rPr>
          <w:rFonts w:cs="Arial"/>
          <w:sz w:val="18"/>
          <w:szCs w:val="18"/>
          <w:lang w:val="en-GB"/>
        </w:rPr>
        <w:t xml:space="preserve"> P</w:t>
      </w:r>
      <w:r w:rsidR="00DA5F1A" w:rsidRPr="00DA5F1A">
        <w:rPr>
          <w:rFonts w:cs="Arial"/>
          <w:sz w:val="18"/>
          <w:szCs w:val="18"/>
          <w:lang w:val="en-GB"/>
        </w:rPr>
        <w:t>romotional interest rate can be an interest rate that contains interest rate reduction for the borrower or an interest rate, including the market interest rate, reduced by interest rate subsidy</w:t>
      </w:r>
      <w:r w:rsidRPr="00DA5F1A">
        <w:rPr>
          <w:rFonts w:cs="Arial"/>
          <w:sz w:val="18"/>
          <w:szCs w:val="18"/>
          <w:lang w:val="en-GB"/>
        </w:rPr>
        <w:t>.</w:t>
      </w:r>
    </w:p>
  </w:footnote>
  <w:footnote w:id="4">
    <w:p w14:paraId="19FABE67" w14:textId="7953453D" w:rsidR="008527D2" w:rsidRPr="00882003" w:rsidRDefault="008527D2" w:rsidP="008527D2">
      <w:pPr>
        <w:pStyle w:val="Header"/>
        <w:tabs>
          <w:tab w:val="clear" w:pos="4536"/>
          <w:tab w:val="clear" w:pos="9072"/>
          <w:tab w:val="center" w:pos="4703"/>
          <w:tab w:val="right" w:pos="9406"/>
        </w:tabs>
        <w:spacing w:before="120"/>
        <w:jc w:val="both"/>
        <w:rPr>
          <w:rFonts w:cs="Arial"/>
          <w:sz w:val="18"/>
          <w:szCs w:val="18"/>
          <w:lang w:val="en-GB"/>
        </w:rPr>
      </w:pPr>
      <w:r w:rsidRPr="00882003">
        <w:rPr>
          <w:rStyle w:val="FootnoteReference"/>
          <w:rFonts w:cs="Arial"/>
          <w:szCs w:val="20"/>
          <w:lang w:val="en-GB"/>
        </w:rPr>
        <w:footnoteRef/>
      </w:r>
      <w:r w:rsidRPr="00882003">
        <w:rPr>
          <w:rFonts w:cs="Arial"/>
          <w:sz w:val="18"/>
          <w:szCs w:val="18"/>
          <w:lang w:val="en-GB"/>
        </w:rPr>
        <w:t xml:space="preserve"> </w:t>
      </w:r>
      <w:r w:rsidR="00DF6060">
        <w:rPr>
          <w:rFonts w:cs="Arial"/>
          <w:sz w:val="18"/>
          <w:szCs w:val="18"/>
          <w:lang w:val="en-GB"/>
        </w:rPr>
        <w:t xml:space="preserve">The discount interest rate is the </w:t>
      </w:r>
      <w:r w:rsidR="00006BC7">
        <w:rPr>
          <w:rFonts w:cs="Arial"/>
          <w:sz w:val="18"/>
          <w:szCs w:val="18"/>
          <w:lang w:val="en-GB"/>
        </w:rPr>
        <w:t xml:space="preserve">interest </w:t>
      </w:r>
      <w:r w:rsidR="00DF6060">
        <w:rPr>
          <w:rFonts w:cs="Arial"/>
          <w:sz w:val="18"/>
          <w:szCs w:val="18"/>
          <w:lang w:val="en-GB"/>
        </w:rPr>
        <w:t>rate applied</w:t>
      </w:r>
      <w:r w:rsidR="00622F4A">
        <w:rPr>
          <w:rFonts w:cs="Arial"/>
          <w:sz w:val="18"/>
          <w:szCs w:val="18"/>
          <w:lang w:val="en-GB"/>
        </w:rPr>
        <w:t xml:space="preserve"> when discounting</w:t>
      </w:r>
      <w:r w:rsidRPr="00882003">
        <w:rPr>
          <w:rFonts w:cs="Arial"/>
          <w:sz w:val="18"/>
          <w:szCs w:val="18"/>
          <w:lang w:val="en-GB"/>
        </w:rPr>
        <w:t xml:space="preserve">. </w:t>
      </w:r>
      <w:r w:rsidR="001A71DB">
        <w:rPr>
          <w:rFonts w:cs="Arial"/>
          <w:sz w:val="18"/>
          <w:szCs w:val="18"/>
          <w:lang w:val="en-GB"/>
        </w:rPr>
        <w:t xml:space="preserve">The </w:t>
      </w:r>
      <w:r w:rsidR="001A71DB">
        <w:rPr>
          <w:rFonts w:cs="Arial"/>
          <w:b/>
          <w:sz w:val="18"/>
          <w:szCs w:val="18"/>
          <w:lang w:val="en-GB"/>
        </w:rPr>
        <w:t>d</w:t>
      </w:r>
      <w:r w:rsidRPr="00882003">
        <w:rPr>
          <w:rFonts w:cs="Arial"/>
          <w:b/>
          <w:sz w:val="18"/>
          <w:szCs w:val="18"/>
          <w:lang w:val="en-GB"/>
        </w:rPr>
        <w:t>is</w:t>
      </w:r>
      <w:r w:rsidR="00882003">
        <w:rPr>
          <w:rFonts w:cs="Arial"/>
          <w:b/>
          <w:sz w:val="18"/>
          <w:szCs w:val="18"/>
          <w:lang w:val="en-GB"/>
        </w:rPr>
        <w:t xml:space="preserve">count </w:t>
      </w:r>
      <w:r w:rsidR="00E5030A">
        <w:rPr>
          <w:rFonts w:cs="Arial"/>
          <w:b/>
          <w:sz w:val="18"/>
          <w:szCs w:val="18"/>
          <w:lang w:val="en-GB"/>
        </w:rPr>
        <w:t xml:space="preserve">interest </w:t>
      </w:r>
      <w:r w:rsidR="00882003">
        <w:rPr>
          <w:rFonts w:cs="Arial"/>
          <w:b/>
          <w:sz w:val="18"/>
          <w:szCs w:val="18"/>
          <w:lang w:val="en-GB"/>
        </w:rPr>
        <w:t xml:space="preserve">rate </w:t>
      </w:r>
      <w:r w:rsidR="00882003" w:rsidRPr="00882003">
        <w:rPr>
          <w:rFonts w:cs="Arial"/>
          <w:sz w:val="18"/>
          <w:szCs w:val="18"/>
          <w:lang w:val="en-GB"/>
        </w:rPr>
        <w:t>is the basic rate (calculated and published by the European Commission) increased by 100 basis points. HBOR's Rules on determining reference and discount rates are harmonised with the current rules of the European Commission, i.e. Communication from the Commission on the revision of the method for setting the reference and discount rates (OJ C 14, 19.1.2008</w:t>
      </w:r>
      <w:r w:rsidRPr="00882003">
        <w:rPr>
          <w:rFonts w:cs="Arial"/>
          <w:sz w:val="18"/>
          <w:szCs w:val="18"/>
          <w:lang w:val="en-GB"/>
        </w:rPr>
        <w:t>).</w:t>
      </w:r>
    </w:p>
  </w:footnote>
  <w:footnote w:id="5">
    <w:p w14:paraId="4F8B32CC" w14:textId="4C9B023B" w:rsidR="00AF27D7" w:rsidRPr="00B70549" w:rsidRDefault="00AF27D7" w:rsidP="00AF27D7">
      <w:pPr>
        <w:pStyle w:val="FootnoteText"/>
        <w:spacing w:before="120"/>
        <w:jc w:val="both"/>
        <w:rPr>
          <w:sz w:val="18"/>
          <w:szCs w:val="18"/>
          <w:lang w:val="en-GB"/>
        </w:rPr>
      </w:pPr>
      <w:r w:rsidRPr="003E6B2A">
        <w:rPr>
          <w:rStyle w:val="FootnoteReference"/>
        </w:rPr>
        <w:footnoteRef/>
      </w:r>
      <w:r w:rsidRPr="003E6B2A">
        <w:t xml:space="preserve"> </w:t>
      </w:r>
      <w:r w:rsidRPr="00B70549">
        <w:rPr>
          <w:sz w:val="18"/>
          <w:szCs w:val="18"/>
          <w:lang w:val="en-GB"/>
        </w:rPr>
        <w:t>For industry and service</w:t>
      </w:r>
      <w:r w:rsidR="009C4473">
        <w:rPr>
          <w:sz w:val="18"/>
          <w:szCs w:val="18"/>
          <w:lang w:val="en-GB"/>
        </w:rPr>
        <w:t xml:space="preserve"> activitie</w:t>
      </w:r>
      <w:r w:rsidRPr="00B70549">
        <w:rPr>
          <w:sz w:val="18"/>
          <w:szCs w:val="18"/>
          <w:lang w:val="en-GB"/>
        </w:rPr>
        <w:t>s as well as for processing and placing of agricultural products on the market, aid</w:t>
      </w:r>
      <w:r>
        <w:rPr>
          <w:sz w:val="18"/>
          <w:szCs w:val="18"/>
          <w:lang w:val="en-GB"/>
        </w:rPr>
        <w:t xml:space="preserve"> is</w:t>
      </w:r>
      <w:r w:rsidRPr="00B70549">
        <w:rPr>
          <w:sz w:val="18"/>
          <w:szCs w:val="18"/>
          <w:lang w:val="en-GB"/>
        </w:rPr>
        <w:t xml:space="preserve"> </w:t>
      </w:r>
      <w:r>
        <w:rPr>
          <w:sz w:val="18"/>
          <w:szCs w:val="18"/>
          <w:lang w:val="en-GB"/>
        </w:rPr>
        <w:t>granted</w:t>
      </w:r>
      <w:r w:rsidRPr="00B70549">
        <w:rPr>
          <w:sz w:val="18"/>
          <w:szCs w:val="18"/>
          <w:lang w:val="en-GB"/>
        </w:rPr>
        <w:t xml:space="preserve"> on the basis of HBOR's </w:t>
      </w:r>
      <w:r w:rsidR="005C6B35" w:rsidRPr="005C6B35">
        <w:rPr>
          <w:sz w:val="18"/>
          <w:szCs w:val="18"/>
          <w:lang w:val="en-GB"/>
        </w:rPr>
        <w:t>State Aid Scheme</w:t>
      </w:r>
      <w:r w:rsidRPr="00B70549">
        <w:rPr>
          <w:rFonts w:cs="Arial"/>
          <w:sz w:val="18"/>
          <w:szCs w:val="18"/>
          <w:lang w:val="en-GB"/>
        </w:rPr>
        <w:t xml:space="preserve">; whereas for activities of primary agricultural production, aid is granted on the basis of </w:t>
      </w:r>
      <w:r w:rsidR="00C67CCF" w:rsidRPr="00C67CCF">
        <w:rPr>
          <w:rFonts w:cs="Arial"/>
          <w:sz w:val="18"/>
          <w:szCs w:val="18"/>
          <w:lang w:val="en-GB"/>
        </w:rPr>
        <w:t>HBOR’s State Aid Scheme for the Agricultural Sector</w:t>
      </w:r>
      <w:r w:rsidRPr="00B70549">
        <w:rPr>
          <w:rFonts w:cs="Arial"/>
          <w:sz w:val="18"/>
          <w:szCs w:val="18"/>
          <w:lang w:val="en-GB"/>
        </w:rPr>
        <w:t>.</w:t>
      </w:r>
    </w:p>
  </w:footnote>
  <w:footnote w:id="6">
    <w:p w14:paraId="2A28A89B" w14:textId="5D539DFD" w:rsidR="00AF27D7" w:rsidRPr="003E6B2A" w:rsidRDefault="00AF27D7" w:rsidP="00AF27D7">
      <w:pPr>
        <w:pStyle w:val="FootnoteText"/>
        <w:spacing w:before="120"/>
        <w:jc w:val="both"/>
        <w:rPr>
          <w:sz w:val="18"/>
          <w:szCs w:val="18"/>
        </w:rPr>
      </w:pPr>
      <w:r w:rsidRPr="00B70549">
        <w:rPr>
          <w:rStyle w:val="FootnoteReference"/>
          <w:lang w:val="en-GB"/>
        </w:rPr>
        <w:footnoteRef/>
      </w:r>
      <w:r w:rsidRPr="00B70549">
        <w:rPr>
          <w:lang w:val="en-GB"/>
        </w:rPr>
        <w:t xml:space="preserve"> </w:t>
      </w:r>
      <w:r w:rsidRPr="00B70549">
        <w:rPr>
          <w:sz w:val="18"/>
          <w:szCs w:val="18"/>
          <w:lang w:val="en-GB"/>
        </w:rPr>
        <w:t xml:space="preserve">HBOR’s </w:t>
      </w:r>
      <w:r>
        <w:rPr>
          <w:sz w:val="18"/>
          <w:szCs w:val="18"/>
          <w:lang w:val="en-GB"/>
        </w:rPr>
        <w:t xml:space="preserve">De Minimis </w:t>
      </w:r>
      <w:r w:rsidR="00797AAE" w:rsidRPr="00797AAE">
        <w:rPr>
          <w:sz w:val="18"/>
          <w:szCs w:val="18"/>
          <w:lang w:val="en-GB"/>
        </w:rPr>
        <w:t>Aid Scheme</w:t>
      </w:r>
      <w:r w:rsidRPr="00B70549">
        <w:rPr>
          <w:sz w:val="18"/>
          <w:szCs w:val="18"/>
          <w:lang w:val="en-GB"/>
        </w:rPr>
        <w:t xml:space="preserve">, </w:t>
      </w:r>
      <w:r>
        <w:rPr>
          <w:sz w:val="18"/>
          <w:szCs w:val="18"/>
          <w:lang w:val="en-GB"/>
        </w:rPr>
        <w:t>and</w:t>
      </w:r>
      <w:r w:rsidR="00651C80" w:rsidRPr="00651C80">
        <w:t xml:space="preserve"> </w:t>
      </w:r>
      <w:r w:rsidR="00651C80" w:rsidRPr="00651C80">
        <w:rPr>
          <w:sz w:val="18"/>
          <w:szCs w:val="18"/>
          <w:lang w:val="en-GB"/>
        </w:rPr>
        <w:t>HBOR’s De Minimis Aid Scheme in Favour of Primary Agricultural Production</w:t>
      </w:r>
      <w:r w:rsidRPr="003E6B2A">
        <w:rPr>
          <w:sz w:val="18"/>
          <w:szCs w:val="18"/>
        </w:rPr>
        <w:t>.</w:t>
      </w:r>
    </w:p>
  </w:footnote>
  <w:footnote w:id="7">
    <w:p w14:paraId="1BAB8E09" w14:textId="4A956570" w:rsidR="000D4163" w:rsidRPr="003E6B2A" w:rsidRDefault="000D4163" w:rsidP="00B12AF5">
      <w:pPr>
        <w:pStyle w:val="FootnoteText"/>
        <w:spacing w:before="120"/>
        <w:jc w:val="both"/>
        <w:rPr>
          <w:rFonts w:cs="Arial"/>
          <w:iCs/>
          <w:sz w:val="18"/>
          <w:szCs w:val="18"/>
        </w:rPr>
      </w:pPr>
      <w:r w:rsidRPr="003E6B2A">
        <w:rPr>
          <w:rStyle w:val="FootnoteReference"/>
          <w:rFonts w:cs="Arial"/>
        </w:rPr>
        <w:footnoteRef/>
      </w:r>
      <w:r w:rsidRPr="003E6B2A">
        <w:rPr>
          <w:rFonts w:cs="Arial"/>
        </w:rPr>
        <w:t xml:space="preserve"> </w:t>
      </w:r>
      <w:r w:rsidR="0001654B" w:rsidRPr="00F51124">
        <w:rPr>
          <w:rFonts w:cs="Arial"/>
          <w:sz w:val="18"/>
          <w:szCs w:val="18"/>
          <w:lang w:val="en-GB"/>
        </w:rPr>
        <w:t>State aid and promotional effect are applied in the programmes that</w:t>
      </w:r>
      <w:r w:rsidR="0001654B">
        <w:rPr>
          <w:rFonts w:cs="Arial"/>
          <w:sz w:val="18"/>
          <w:szCs w:val="18"/>
          <w:lang w:val="en-GB"/>
        </w:rPr>
        <w:t xml:space="preserve"> enable investments in fixed assets</w:t>
      </w:r>
      <w:r w:rsidR="00C74C4A" w:rsidRPr="003E6B2A">
        <w:rPr>
          <w:rFonts w:cs="Arial"/>
          <w:sz w:val="18"/>
          <w:szCs w:val="18"/>
        </w:rPr>
        <w:t>.</w:t>
      </w:r>
    </w:p>
  </w:footnote>
  <w:footnote w:id="8">
    <w:p w14:paraId="02C474C7" w14:textId="0FF70CE8" w:rsidR="00E46A8F" w:rsidRPr="00F51124" w:rsidRDefault="00E46A8F" w:rsidP="00311C57">
      <w:pPr>
        <w:pStyle w:val="Header"/>
        <w:spacing w:before="120" w:line="276" w:lineRule="auto"/>
        <w:jc w:val="both"/>
        <w:rPr>
          <w:sz w:val="18"/>
          <w:szCs w:val="18"/>
          <w:lang w:val="en-GB"/>
        </w:rPr>
      </w:pPr>
      <w:r w:rsidRPr="00F51124">
        <w:rPr>
          <w:rStyle w:val="FootnoteReference"/>
          <w:sz w:val="18"/>
          <w:szCs w:val="18"/>
          <w:lang w:val="en-GB"/>
        </w:rPr>
        <w:footnoteRef/>
      </w:r>
      <w:r w:rsidRPr="00F51124">
        <w:rPr>
          <w:sz w:val="18"/>
          <w:szCs w:val="18"/>
          <w:lang w:val="en-GB"/>
        </w:rPr>
        <w:t xml:space="preserve"> </w:t>
      </w:r>
      <w:r>
        <w:rPr>
          <w:rFonts w:cs="Arial"/>
          <w:sz w:val="18"/>
          <w:szCs w:val="18"/>
          <w:lang w:val="en-GB"/>
        </w:rPr>
        <w:t>Start of works means either the start of construction works relating to the investment or the first</w:t>
      </w:r>
      <w:r w:rsidRPr="00F51124">
        <w:rPr>
          <w:rFonts w:cs="Arial"/>
          <w:sz w:val="18"/>
          <w:szCs w:val="18"/>
          <w:lang w:val="en-GB"/>
        </w:rPr>
        <w:t xml:space="preserve"> </w:t>
      </w:r>
      <w:r>
        <w:rPr>
          <w:rFonts w:cs="Arial"/>
          <w:sz w:val="18"/>
          <w:szCs w:val="18"/>
          <w:lang w:val="en-GB"/>
        </w:rPr>
        <w:t>legally binding commitment to order equipment</w:t>
      </w:r>
      <w:r w:rsidRPr="00F51124">
        <w:rPr>
          <w:rFonts w:cs="Arial"/>
          <w:sz w:val="18"/>
          <w:szCs w:val="18"/>
          <w:lang w:val="en-GB"/>
        </w:rPr>
        <w:t xml:space="preserve"> </w:t>
      </w:r>
      <w:r>
        <w:rPr>
          <w:rFonts w:cs="Arial"/>
          <w:sz w:val="18"/>
          <w:szCs w:val="18"/>
          <w:lang w:val="en-GB"/>
        </w:rPr>
        <w:t>or any other commitment</w:t>
      </w:r>
      <w:r w:rsidRPr="00F51124">
        <w:rPr>
          <w:rFonts w:cs="Arial"/>
          <w:sz w:val="18"/>
          <w:szCs w:val="18"/>
          <w:lang w:val="en-GB"/>
        </w:rPr>
        <w:t xml:space="preserve"> </w:t>
      </w:r>
      <w:r>
        <w:rPr>
          <w:rFonts w:cs="Arial"/>
          <w:sz w:val="18"/>
          <w:szCs w:val="18"/>
          <w:lang w:val="en-GB"/>
        </w:rPr>
        <w:t>that makes the investment</w:t>
      </w:r>
      <w:r w:rsidRPr="00F51124">
        <w:rPr>
          <w:rFonts w:cs="Arial"/>
          <w:sz w:val="18"/>
          <w:szCs w:val="18"/>
          <w:lang w:val="en-GB"/>
        </w:rPr>
        <w:t xml:space="preserve"> </w:t>
      </w:r>
      <w:r>
        <w:rPr>
          <w:rFonts w:cs="Arial"/>
          <w:sz w:val="18"/>
          <w:szCs w:val="18"/>
          <w:lang w:val="en-GB"/>
        </w:rPr>
        <w:t>irreversible</w:t>
      </w:r>
      <w:r w:rsidRPr="00F51124">
        <w:rPr>
          <w:rFonts w:cs="Arial"/>
          <w:sz w:val="18"/>
          <w:szCs w:val="18"/>
          <w:lang w:val="en-GB"/>
        </w:rPr>
        <w:t xml:space="preserve">, </w:t>
      </w:r>
      <w:r>
        <w:rPr>
          <w:rFonts w:cs="Arial"/>
          <w:sz w:val="18"/>
          <w:szCs w:val="18"/>
          <w:lang w:val="en-GB"/>
        </w:rPr>
        <w:t>whichever comes first</w:t>
      </w:r>
      <w:r w:rsidRPr="00F51124">
        <w:rPr>
          <w:rFonts w:cs="Arial"/>
          <w:sz w:val="18"/>
          <w:szCs w:val="18"/>
          <w:lang w:val="en-GB"/>
        </w:rPr>
        <w:t xml:space="preserve">, </w:t>
      </w:r>
      <w:r>
        <w:rPr>
          <w:rFonts w:cs="Arial"/>
          <w:sz w:val="18"/>
          <w:szCs w:val="18"/>
          <w:lang w:val="en-GB"/>
        </w:rPr>
        <w:t>excluding preparatory works</w:t>
      </w:r>
      <w:r w:rsidRPr="00F51124">
        <w:rPr>
          <w:rFonts w:cs="Arial"/>
          <w:sz w:val="18"/>
          <w:szCs w:val="18"/>
          <w:lang w:val="en-GB"/>
        </w:rPr>
        <w:t xml:space="preserve"> (</w:t>
      </w:r>
      <w:r w:rsidR="00495B15">
        <w:rPr>
          <w:rFonts w:cs="Arial"/>
          <w:sz w:val="18"/>
          <w:szCs w:val="18"/>
          <w:lang w:val="en-GB"/>
        </w:rPr>
        <w:t xml:space="preserve">purchase of </w:t>
      </w:r>
      <w:r>
        <w:rPr>
          <w:rFonts w:cs="Arial"/>
          <w:sz w:val="18"/>
          <w:szCs w:val="18"/>
          <w:lang w:val="en-GB"/>
        </w:rPr>
        <w:t>land and preparatory works</w:t>
      </w:r>
      <w:r w:rsidRPr="00F51124">
        <w:rPr>
          <w:rFonts w:cs="Arial"/>
          <w:sz w:val="18"/>
          <w:szCs w:val="18"/>
          <w:lang w:val="en-GB"/>
        </w:rPr>
        <w:t xml:space="preserve"> </w:t>
      </w:r>
      <w:r>
        <w:rPr>
          <w:rFonts w:cs="Arial"/>
          <w:sz w:val="18"/>
          <w:szCs w:val="18"/>
          <w:lang w:val="en-GB"/>
        </w:rPr>
        <w:t>such as obtaining</w:t>
      </w:r>
      <w:r w:rsidRPr="00F51124">
        <w:rPr>
          <w:rFonts w:cs="Arial"/>
          <w:sz w:val="18"/>
          <w:szCs w:val="18"/>
          <w:lang w:val="en-GB"/>
        </w:rPr>
        <w:t xml:space="preserve"> </w:t>
      </w:r>
      <w:r>
        <w:rPr>
          <w:rFonts w:cs="Arial"/>
          <w:sz w:val="18"/>
          <w:szCs w:val="18"/>
          <w:lang w:val="en-GB"/>
        </w:rPr>
        <w:t>permits and conducting feasibility studies are not considered to be the start of works</w:t>
      </w:r>
      <w:r w:rsidRPr="00F51124">
        <w:rPr>
          <w:rFonts w:cs="Arial"/>
          <w:sz w:val="18"/>
          <w:szCs w:val="18"/>
          <w:lang w:val="en-GB"/>
        </w:rPr>
        <w:t xml:space="preserve">). </w:t>
      </w:r>
      <w:r>
        <w:rPr>
          <w:rFonts w:cs="Arial"/>
          <w:sz w:val="18"/>
          <w:szCs w:val="18"/>
          <w:lang w:val="en-GB"/>
        </w:rPr>
        <w:t xml:space="preserve">In </w:t>
      </w:r>
      <w:r w:rsidR="00603D14">
        <w:rPr>
          <w:rFonts w:cs="Arial"/>
          <w:sz w:val="18"/>
          <w:szCs w:val="18"/>
          <w:lang w:val="en-GB"/>
        </w:rPr>
        <w:t xml:space="preserve">the </w:t>
      </w:r>
      <w:r>
        <w:rPr>
          <w:rFonts w:cs="Arial"/>
          <w:sz w:val="18"/>
          <w:szCs w:val="18"/>
          <w:lang w:val="en-GB"/>
        </w:rPr>
        <w:t>case of takeovers</w:t>
      </w:r>
      <w:r w:rsidR="00D7078F">
        <w:rPr>
          <w:rFonts w:cs="Arial"/>
          <w:sz w:val="18"/>
          <w:szCs w:val="18"/>
          <w:lang w:val="en-GB"/>
        </w:rPr>
        <w:t xml:space="preserve"> of entrepreneurs</w:t>
      </w:r>
      <w:r>
        <w:rPr>
          <w:rFonts w:cs="Arial"/>
          <w:sz w:val="18"/>
          <w:szCs w:val="18"/>
          <w:lang w:val="en-GB"/>
        </w:rPr>
        <w:t xml:space="preserve">, </w:t>
      </w:r>
      <w:r w:rsidR="001B25DD">
        <w:rPr>
          <w:rFonts w:cs="Arial"/>
          <w:sz w:val="18"/>
          <w:szCs w:val="18"/>
          <w:lang w:val="en-GB"/>
        </w:rPr>
        <w:t xml:space="preserve">the </w:t>
      </w:r>
      <w:r>
        <w:rPr>
          <w:rFonts w:cs="Arial"/>
          <w:sz w:val="18"/>
          <w:szCs w:val="18"/>
          <w:lang w:val="en-GB"/>
        </w:rPr>
        <w:t>start of works means the moment of acquiring the assets directly linked to the acquired establishment</w:t>
      </w:r>
      <w:r w:rsidRPr="00F51124">
        <w:rPr>
          <w:rFonts w:cs="Arial"/>
          <w:sz w:val="18"/>
          <w:szCs w:val="18"/>
          <w:lang w:val="en-GB"/>
        </w:rPr>
        <w:t xml:space="preserve">. </w:t>
      </w:r>
    </w:p>
  </w:footnote>
  <w:footnote w:id="9">
    <w:p w14:paraId="45C0A067" w14:textId="4776208D" w:rsidR="00E46A8F" w:rsidRPr="00F51124" w:rsidRDefault="00E46A8F" w:rsidP="00E46A8F">
      <w:pPr>
        <w:pStyle w:val="Header"/>
        <w:spacing w:line="276" w:lineRule="auto"/>
        <w:jc w:val="both"/>
        <w:rPr>
          <w:rFonts w:cs="Arial"/>
          <w:sz w:val="18"/>
          <w:szCs w:val="18"/>
          <w:lang w:val="en-GB"/>
        </w:rPr>
      </w:pPr>
      <w:r w:rsidRPr="00F51124">
        <w:rPr>
          <w:rStyle w:val="FootnoteReference"/>
          <w:sz w:val="18"/>
          <w:szCs w:val="18"/>
          <w:lang w:val="en-GB"/>
        </w:rPr>
        <w:footnoteRef/>
      </w:r>
      <w:r w:rsidRPr="00F51124">
        <w:rPr>
          <w:sz w:val="18"/>
          <w:szCs w:val="18"/>
          <w:lang w:val="en-GB"/>
        </w:rPr>
        <w:t xml:space="preserve"> </w:t>
      </w:r>
      <w:r w:rsidR="00C150D5">
        <w:rPr>
          <w:sz w:val="18"/>
          <w:szCs w:val="18"/>
          <w:lang w:val="en-GB"/>
        </w:rPr>
        <w:t xml:space="preserve">Template </w:t>
      </w:r>
      <w:r>
        <w:rPr>
          <w:rFonts w:cs="Arial"/>
          <w:sz w:val="18"/>
          <w:szCs w:val="18"/>
          <w:lang w:val="en-GB"/>
        </w:rPr>
        <w:t xml:space="preserve">for </w:t>
      </w:r>
      <w:r w:rsidR="00EB6627">
        <w:rPr>
          <w:rFonts w:cs="Arial"/>
          <w:sz w:val="18"/>
          <w:szCs w:val="18"/>
          <w:lang w:val="en-GB"/>
        </w:rPr>
        <w:t>announcing an</w:t>
      </w:r>
      <w:r>
        <w:rPr>
          <w:rFonts w:cs="Arial"/>
          <w:sz w:val="18"/>
          <w:szCs w:val="18"/>
          <w:lang w:val="en-GB"/>
        </w:rPr>
        <w:t xml:space="preserve"> investment and loan application </w:t>
      </w:r>
      <w:r w:rsidR="00C150D5">
        <w:rPr>
          <w:rFonts w:cs="Arial"/>
          <w:sz w:val="18"/>
          <w:szCs w:val="18"/>
          <w:lang w:val="en-GB"/>
        </w:rPr>
        <w:t xml:space="preserve">templates </w:t>
      </w:r>
      <w:r>
        <w:rPr>
          <w:rFonts w:cs="Arial"/>
          <w:sz w:val="18"/>
          <w:szCs w:val="18"/>
          <w:lang w:val="en-GB"/>
        </w:rPr>
        <w:t>have been published on</w:t>
      </w:r>
      <w:r w:rsidRPr="00F51124">
        <w:rPr>
          <w:rFonts w:cs="Arial"/>
          <w:sz w:val="18"/>
          <w:szCs w:val="18"/>
          <w:lang w:val="en-GB"/>
        </w:rPr>
        <w:t xml:space="preserve"> HBOR</w:t>
      </w:r>
      <w:r>
        <w:rPr>
          <w:rFonts w:cs="Arial"/>
          <w:sz w:val="18"/>
          <w:szCs w:val="18"/>
          <w:lang w:val="en-GB"/>
        </w:rPr>
        <w:t xml:space="preserve">’s websites </w:t>
      </w:r>
      <w:r w:rsidR="00341F2F">
        <w:rPr>
          <w:rFonts w:cs="Arial"/>
          <w:sz w:val="18"/>
          <w:szCs w:val="18"/>
          <w:lang w:val="en-GB"/>
        </w:rPr>
        <w:t xml:space="preserve">and </w:t>
      </w:r>
      <w:r>
        <w:rPr>
          <w:rFonts w:cs="Arial"/>
          <w:sz w:val="18"/>
          <w:szCs w:val="18"/>
          <w:lang w:val="en-GB"/>
        </w:rPr>
        <w:t xml:space="preserve">can </w:t>
      </w:r>
      <w:r w:rsidR="00341F2F">
        <w:rPr>
          <w:rFonts w:cs="Arial"/>
          <w:sz w:val="18"/>
          <w:szCs w:val="18"/>
          <w:lang w:val="en-GB"/>
        </w:rPr>
        <w:t xml:space="preserve">also </w:t>
      </w:r>
      <w:r>
        <w:rPr>
          <w:rFonts w:cs="Arial"/>
          <w:sz w:val="18"/>
          <w:szCs w:val="18"/>
          <w:lang w:val="en-GB"/>
        </w:rPr>
        <w:t>be obtained from</w:t>
      </w:r>
      <w:r w:rsidRPr="00F51124">
        <w:rPr>
          <w:rFonts w:cs="Arial"/>
          <w:sz w:val="18"/>
          <w:szCs w:val="18"/>
          <w:lang w:val="en-GB"/>
        </w:rPr>
        <w:t xml:space="preserve"> HBOR</w:t>
      </w:r>
      <w:r>
        <w:rPr>
          <w:rFonts w:cs="Arial"/>
          <w:sz w:val="18"/>
          <w:szCs w:val="18"/>
          <w:lang w:val="en-GB"/>
        </w:rPr>
        <w:t xml:space="preserve"> at request</w:t>
      </w:r>
      <w:r w:rsidRPr="00F51124">
        <w:rPr>
          <w:rFonts w:cs="Arial"/>
          <w:sz w:val="18"/>
          <w:szCs w:val="18"/>
          <w:lang w:val="en-GB"/>
        </w:rPr>
        <w:t>.</w:t>
      </w:r>
    </w:p>
    <w:p w14:paraId="09D66C69" w14:textId="77777777" w:rsidR="00E46A8F" w:rsidRPr="00F51124" w:rsidRDefault="00E46A8F" w:rsidP="00E46A8F">
      <w:pPr>
        <w:pStyle w:val="FootnoteText"/>
        <w:rPr>
          <w:lang w:val="en-GB"/>
        </w:rPr>
      </w:pPr>
    </w:p>
  </w:footnote>
  <w:footnote w:id="10">
    <w:p w14:paraId="3B2DC064" w14:textId="0D60D513" w:rsidR="004C1891" w:rsidRPr="00E24547" w:rsidRDefault="004C1891" w:rsidP="004C1891">
      <w:pPr>
        <w:pStyle w:val="FootnoteText"/>
        <w:spacing w:line="276" w:lineRule="auto"/>
        <w:jc w:val="both"/>
        <w:rPr>
          <w:rFonts w:cs="Arial"/>
          <w:sz w:val="18"/>
          <w:szCs w:val="18"/>
          <w:lang w:val="en-GB"/>
        </w:rPr>
      </w:pPr>
      <w:r w:rsidRPr="00A04D6A">
        <w:rPr>
          <w:rStyle w:val="FootnoteReference"/>
          <w:rFonts w:cs="Arial"/>
          <w:sz w:val="18"/>
          <w:szCs w:val="18"/>
          <w:lang w:val="en-GB"/>
        </w:rPr>
        <w:footnoteRef/>
      </w:r>
      <w:r w:rsidRPr="00A04D6A">
        <w:rPr>
          <w:rFonts w:cs="Arial"/>
          <w:sz w:val="18"/>
          <w:szCs w:val="18"/>
          <w:lang w:val="en-GB"/>
        </w:rPr>
        <w:t xml:space="preserve"> </w:t>
      </w:r>
      <w:r w:rsidRPr="00E24547">
        <w:rPr>
          <w:rFonts w:cs="Arial"/>
          <w:sz w:val="18"/>
          <w:szCs w:val="18"/>
          <w:lang w:val="en-GB"/>
        </w:rPr>
        <w:t xml:space="preserve">Entrepreneur is any entity </w:t>
      </w:r>
      <w:r w:rsidR="00A5785F" w:rsidRPr="00E24547">
        <w:rPr>
          <w:rFonts w:cs="Arial"/>
          <w:sz w:val="18"/>
          <w:szCs w:val="18"/>
          <w:lang w:val="en-GB"/>
        </w:rPr>
        <w:t xml:space="preserve">engaged </w:t>
      </w:r>
      <w:r w:rsidRPr="00E24547">
        <w:rPr>
          <w:rFonts w:cs="Arial"/>
          <w:sz w:val="18"/>
          <w:szCs w:val="18"/>
          <w:lang w:val="en-GB"/>
        </w:rPr>
        <w:t xml:space="preserve">in an economic activity, regardless of its legal form. This includes, particularly, self-employed persons and family entrepreneurs that are active in crafts businesses or other business activities, partnerships or associations regularly engaged in an economic activity. </w:t>
      </w:r>
    </w:p>
  </w:footnote>
  <w:footnote w:id="11">
    <w:p w14:paraId="71FFBC33" w14:textId="460EDABE" w:rsidR="00742DA0" w:rsidRPr="006C35B8" w:rsidRDefault="00742DA0">
      <w:pPr>
        <w:pStyle w:val="FootnoteText"/>
        <w:rPr>
          <w:sz w:val="18"/>
          <w:szCs w:val="18"/>
          <w:lang w:val="en-GB"/>
        </w:rPr>
      </w:pPr>
      <w:r w:rsidRPr="006C35B8">
        <w:rPr>
          <w:rStyle w:val="FootnoteReference"/>
          <w:sz w:val="18"/>
          <w:szCs w:val="18"/>
          <w:lang w:val="en-GB"/>
        </w:rPr>
        <w:footnoteRef/>
      </w:r>
      <w:r w:rsidRPr="006C35B8">
        <w:rPr>
          <w:sz w:val="18"/>
          <w:szCs w:val="18"/>
          <w:lang w:val="en-GB"/>
        </w:rPr>
        <w:t xml:space="preserve"> </w:t>
      </w:r>
      <w:r w:rsidR="00056266" w:rsidRPr="006C35B8">
        <w:rPr>
          <w:sz w:val="18"/>
          <w:szCs w:val="18"/>
          <w:lang w:val="en-GB"/>
        </w:rPr>
        <w:t>As an</w:t>
      </w:r>
      <w:r w:rsidR="00780683" w:rsidRPr="006C35B8">
        <w:rPr>
          <w:sz w:val="18"/>
          <w:szCs w:val="18"/>
          <w:lang w:val="en-GB"/>
        </w:rPr>
        <w:t xml:space="preserve"> exception,</w:t>
      </w:r>
      <w:r w:rsidR="00FD2713" w:rsidRPr="006C35B8">
        <w:rPr>
          <w:sz w:val="18"/>
          <w:szCs w:val="18"/>
          <w:lang w:val="en-GB"/>
        </w:rPr>
        <w:t xml:space="preserve"> it is acceptable if a company established for the purpose of managing </w:t>
      </w:r>
      <w:r w:rsidR="00052E33" w:rsidRPr="006C35B8">
        <w:rPr>
          <w:sz w:val="18"/>
          <w:szCs w:val="18"/>
          <w:lang w:val="en-GB"/>
        </w:rPr>
        <w:t xml:space="preserve">immovable property </w:t>
      </w:r>
      <w:r w:rsidR="00FD2713" w:rsidRPr="006C35B8">
        <w:rPr>
          <w:sz w:val="18"/>
          <w:szCs w:val="18"/>
          <w:lang w:val="en-GB"/>
        </w:rPr>
        <w:t xml:space="preserve">within a group of </w:t>
      </w:r>
      <w:r w:rsidR="00A23C8E" w:rsidRPr="006C35B8">
        <w:rPr>
          <w:sz w:val="18"/>
          <w:szCs w:val="18"/>
          <w:lang w:val="en-GB"/>
        </w:rPr>
        <w:t xml:space="preserve">associated </w:t>
      </w:r>
      <w:r w:rsidR="00FD2713" w:rsidRPr="006C35B8">
        <w:rPr>
          <w:sz w:val="18"/>
          <w:szCs w:val="18"/>
          <w:lang w:val="en-GB"/>
        </w:rPr>
        <w:t xml:space="preserve">companies invests in </w:t>
      </w:r>
      <w:r w:rsidR="00052E33" w:rsidRPr="006C35B8">
        <w:rPr>
          <w:sz w:val="18"/>
          <w:szCs w:val="18"/>
          <w:lang w:val="en-GB"/>
        </w:rPr>
        <w:t>immovable property</w:t>
      </w:r>
      <w:r w:rsidR="00FD2713" w:rsidRPr="006C35B8">
        <w:rPr>
          <w:sz w:val="18"/>
          <w:szCs w:val="18"/>
          <w:lang w:val="en-GB"/>
        </w:rPr>
        <w:t xml:space="preserve"> that will be </w:t>
      </w:r>
      <w:r w:rsidR="00052E33" w:rsidRPr="006C35B8">
        <w:rPr>
          <w:sz w:val="18"/>
          <w:szCs w:val="18"/>
          <w:lang w:val="en-GB"/>
        </w:rPr>
        <w:t xml:space="preserve">offered </w:t>
      </w:r>
      <w:r w:rsidR="00FD2713" w:rsidRPr="006C35B8">
        <w:rPr>
          <w:sz w:val="18"/>
          <w:szCs w:val="18"/>
          <w:lang w:val="en-GB"/>
        </w:rPr>
        <w:t xml:space="preserve">for use (rent) exclusively to </w:t>
      </w:r>
      <w:r w:rsidR="00052E33" w:rsidRPr="006C35B8">
        <w:rPr>
          <w:sz w:val="18"/>
          <w:szCs w:val="18"/>
          <w:lang w:val="en-GB"/>
        </w:rPr>
        <w:t xml:space="preserve">associated </w:t>
      </w:r>
      <w:r w:rsidR="00FD2713" w:rsidRPr="006C35B8">
        <w:rPr>
          <w:sz w:val="18"/>
          <w:szCs w:val="18"/>
          <w:lang w:val="en-GB"/>
        </w:rPr>
        <w:t>companies, where the activity of a</w:t>
      </w:r>
      <w:r w:rsidR="006C35B8" w:rsidRPr="006C35B8">
        <w:rPr>
          <w:sz w:val="18"/>
          <w:szCs w:val="18"/>
          <w:lang w:val="en-GB"/>
        </w:rPr>
        <w:t xml:space="preserve">ssociated </w:t>
      </w:r>
      <w:r w:rsidR="00FD2713" w:rsidRPr="006C35B8">
        <w:rPr>
          <w:sz w:val="18"/>
          <w:szCs w:val="18"/>
          <w:lang w:val="en-GB"/>
        </w:rPr>
        <w:t xml:space="preserve">companies is not on the list of </w:t>
      </w:r>
      <w:r w:rsidR="006C35B8" w:rsidRPr="006C35B8">
        <w:rPr>
          <w:sz w:val="18"/>
          <w:szCs w:val="18"/>
          <w:lang w:val="en-GB"/>
        </w:rPr>
        <w:t xml:space="preserve">ineligible </w:t>
      </w:r>
      <w:r w:rsidR="00FD2713" w:rsidRPr="006C35B8">
        <w:rPr>
          <w:sz w:val="18"/>
          <w:szCs w:val="18"/>
          <w:lang w:val="en-GB"/>
        </w:rPr>
        <w:t>activities</w:t>
      </w:r>
      <w:r w:rsidR="006C35B8" w:rsidRPr="006C35B8">
        <w:rPr>
          <w:sz w:val="18"/>
          <w:szCs w:val="18"/>
          <w:lang w:val="en-GB"/>
        </w:rPr>
        <w:t>.</w:t>
      </w:r>
    </w:p>
  </w:footnote>
  <w:footnote w:id="12">
    <w:p w14:paraId="2CBEE191" w14:textId="317F7964" w:rsidR="005F01FB" w:rsidRPr="00F739DF" w:rsidRDefault="005F01FB" w:rsidP="00742DA0">
      <w:pPr>
        <w:pStyle w:val="FootnoteText"/>
        <w:spacing w:before="120"/>
        <w:jc w:val="both"/>
        <w:rPr>
          <w:sz w:val="18"/>
          <w:szCs w:val="18"/>
          <w:lang w:val="en-GB"/>
        </w:rPr>
      </w:pPr>
      <w:r w:rsidRPr="006C35B8">
        <w:rPr>
          <w:rStyle w:val="FootnoteReference"/>
          <w:lang w:val="en-GB"/>
        </w:rPr>
        <w:footnoteRef/>
      </w:r>
      <w:r w:rsidRPr="006C35B8">
        <w:rPr>
          <w:lang w:val="en-GB"/>
        </w:rPr>
        <w:t xml:space="preserve"> </w:t>
      </w:r>
      <w:r w:rsidRPr="006C35B8">
        <w:rPr>
          <w:sz w:val="18"/>
          <w:szCs w:val="18"/>
          <w:lang w:val="en-GB"/>
        </w:rPr>
        <w:t xml:space="preserve">Investments in energy efficiency </w:t>
      </w:r>
      <w:r w:rsidRPr="00F739DF">
        <w:rPr>
          <w:sz w:val="18"/>
          <w:szCs w:val="18"/>
          <w:lang w:val="en-GB"/>
        </w:rPr>
        <w:t xml:space="preserve">projects include only </w:t>
      </w:r>
      <w:r w:rsidR="003C58CB" w:rsidRPr="00F739DF">
        <w:rPr>
          <w:sz w:val="18"/>
          <w:szCs w:val="18"/>
          <w:lang w:val="en-GB"/>
        </w:rPr>
        <w:t xml:space="preserve">the </w:t>
      </w:r>
      <w:r w:rsidRPr="00F739DF">
        <w:rPr>
          <w:sz w:val="18"/>
          <w:szCs w:val="18"/>
          <w:lang w:val="en-GB"/>
        </w:rPr>
        <w:t xml:space="preserve">costs related to raising the level of energy efficiency of </w:t>
      </w:r>
      <w:r w:rsidR="003C58CB" w:rsidRPr="00F739DF">
        <w:rPr>
          <w:sz w:val="18"/>
          <w:szCs w:val="18"/>
          <w:lang w:val="en-GB"/>
        </w:rPr>
        <w:t>immovable property</w:t>
      </w:r>
      <w:r w:rsidRPr="00F739DF">
        <w:rPr>
          <w:sz w:val="18"/>
          <w:szCs w:val="18"/>
          <w:lang w:val="en-GB"/>
        </w:rPr>
        <w:t xml:space="preserve">, and do not include the costs of acquiring or building of </w:t>
      </w:r>
      <w:r w:rsidR="00B37722" w:rsidRPr="00F739DF">
        <w:rPr>
          <w:sz w:val="18"/>
          <w:szCs w:val="18"/>
          <w:lang w:val="en-GB"/>
        </w:rPr>
        <w:t>immovable property</w:t>
      </w:r>
      <w:r w:rsidRPr="00F739DF">
        <w:rPr>
          <w:sz w:val="18"/>
          <w:szCs w:val="18"/>
          <w:lang w:val="en-GB"/>
        </w:rPr>
        <w:t>.</w:t>
      </w:r>
    </w:p>
  </w:footnote>
  <w:footnote w:id="13">
    <w:p w14:paraId="79963451" w14:textId="77777777" w:rsidR="00C977F7" w:rsidRDefault="00A61D8B" w:rsidP="00A61D8B">
      <w:pPr>
        <w:pStyle w:val="FootnoteText"/>
        <w:spacing w:before="120"/>
        <w:rPr>
          <w:sz w:val="18"/>
          <w:szCs w:val="18"/>
          <w:lang w:val="en-GB"/>
        </w:rPr>
      </w:pPr>
      <w:r w:rsidRPr="00F739DF">
        <w:rPr>
          <w:rStyle w:val="FootnoteReference"/>
          <w:sz w:val="18"/>
          <w:szCs w:val="18"/>
          <w:lang w:val="en-GB"/>
        </w:rPr>
        <w:footnoteRef/>
      </w:r>
      <w:r w:rsidRPr="00F739DF">
        <w:rPr>
          <w:sz w:val="18"/>
          <w:szCs w:val="18"/>
          <w:lang w:val="en-GB"/>
        </w:rPr>
        <w:t xml:space="preserve"> </w:t>
      </w:r>
      <w:r w:rsidR="00786FD6" w:rsidRPr="00F739DF">
        <w:rPr>
          <w:sz w:val="18"/>
          <w:szCs w:val="18"/>
          <w:lang w:val="en-GB"/>
        </w:rPr>
        <w:t>As an exception, HBOR may consider approval of loans for the purchase of business shares if it is a  transaction by which an exporter registered in the Republic of Croatia purchases shares of a foreign company for the purpose of expanding and internationalising business in the area of its predominant activity, where the assessment of acceptability in direct lending is based primarily on exporter's creditworthiness</w:t>
      </w:r>
      <w:r w:rsidR="00C977F7">
        <w:rPr>
          <w:sz w:val="18"/>
          <w:szCs w:val="18"/>
          <w:lang w:val="en-GB"/>
        </w:rPr>
        <w:t>.</w:t>
      </w:r>
    </w:p>
    <w:p w14:paraId="33F760B5" w14:textId="6D13020E" w:rsidR="00A61D8B" w:rsidRPr="00F739DF" w:rsidRDefault="00DD1591" w:rsidP="00A61D8B">
      <w:pPr>
        <w:pStyle w:val="FootnoteText"/>
        <w:spacing w:before="120"/>
        <w:rPr>
          <w:sz w:val="18"/>
          <w:szCs w:val="18"/>
          <w:lang w:val="en-GB"/>
        </w:rPr>
      </w:pPr>
      <w:r w:rsidRPr="00DD1591">
        <w:rPr>
          <w:sz w:val="18"/>
          <w:szCs w:val="18"/>
          <w:lang w:val="en-GB"/>
        </w:rPr>
        <w:t>The following is not acceptable: purchase of a business share from a related person in terms of ownership, or a purchase of business share in a company with the headquarters in: - a country or region against which or against whose government the sanctions programmes implemented by relevant competent authorities are directed; - to a country that is considered an offshore financial centre. This includes, but is not limited to: - countries that finance or support terrorist activities or within which terrorist organisations operate; - countries that are on the EU’s list of non-cooperative jurisdictions for tax purposes</w:t>
      </w:r>
      <w:r w:rsidR="00F739DF" w:rsidRPr="00F739DF">
        <w:rPr>
          <w:sz w:val="18"/>
          <w:szCs w:val="18"/>
          <w:lang w:val="en-GB"/>
        </w:rPr>
        <w:t>.</w:t>
      </w:r>
    </w:p>
  </w:footnote>
  <w:footnote w:id="14">
    <w:p w14:paraId="31E044EE" w14:textId="21D3A685" w:rsidR="005F01FB" w:rsidRPr="00E24547" w:rsidRDefault="005F01FB" w:rsidP="005F01FB">
      <w:pPr>
        <w:pStyle w:val="FootnoteText"/>
        <w:spacing w:before="120"/>
        <w:jc w:val="both"/>
        <w:rPr>
          <w:sz w:val="18"/>
          <w:szCs w:val="18"/>
          <w:lang w:val="en-GB"/>
        </w:rPr>
      </w:pPr>
      <w:r w:rsidRPr="00E24547">
        <w:rPr>
          <w:rStyle w:val="FootnoteReference"/>
          <w:lang w:val="en-GB"/>
        </w:rPr>
        <w:footnoteRef/>
      </w:r>
      <w:r w:rsidRPr="00E24547">
        <w:rPr>
          <w:rStyle w:val="FootnoteReference"/>
          <w:lang w:val="en-GB"/>
        </w:rPr>
        <w:t xml:space="preserve"> </w:t>
      </w:r>
      <w:r w:rsidR="00E951B3">
        <w:rPr>
          <w:rStyle w:val="FootnoteReference"/>
          <w:sz w:val="18"/>
          <w:szCs w:val="18"/>
          <w:vertAlign w:val="baseline"/>
          <w:lang w:val="en-GB"/>
        </w:rPr>
        <w:t>A</w:t>
      </w:r>
      <w:r w:rsidR="00E951B3">
        <w:rPr>
          <w:sz w:val="18"/>
          <w:szCs w:val="18"/>
          <w:lang w:val="en-GB"/>
        </w:rPr>
        <w:t>s an exception</w:t>
      </w:r>
      <w:r w:rsidRPr="00E24547">
        <w:rPr>
          <w:rStyle w:val="FootnoteReference"/>
          <w:sz w:val="18"/>
          <w:szCs w:val="18"/>
          <w:vertAlign w:val="baseline"/>
          <w:lang w:val="en-GB"/>
        </w:rPr>
        <w:t>, i</w:t>
      </w:r>
      <w:r w:rsidRPr="00E24547">
        <w:rPr>
          <w:sz w:val="18"/>
          <w:szCs w:val="18"/>
          <w:lang w:val="en-GB"/>
        </w:rPr>
        <w:t xml:space="preserve">nvestments in </w:t>
      </w:r>
      <w:r w:rsidR="00CD319B">
        <w:rPr>
          <w:sz w:val="18"/>
          <w:szCs w:val="18"/>
          <w:lang w:val="en-GB"/>
        </w:rPr>
        <w:t xml:space="preserve">immovable property </w:t>
      </w:r>
      <w:r w:rsidRPr="00E24547">
        <w:rPr>
          <w:sz w:val="18"/>
          <w:szCs w:val="18"/>
          <w:lang w:val="en-GB"/>
        </w:rPr>
        <w:t>not owned by the borrower</w:t>
      </w:r>
      <w:r w:rsidRPr="00E24547">
        <w:rPr>
          <w:rStyle w:val="FootnoteReference"/>
          <w:sz w:val="18"/>
          <w:szCs w:val="18"/>
          <w:vertAlign w:val="baseline"/>
          <w:lang w:val="en-GB"/>
        </w:rPr>
        <w:t xml:space="preserve"> a</w:t>
      </w:r>
      <w:r w:rsidRPr="00E24547">
        <w:rPr>
          <w:sz w:val="18"/>
          <w:szCs w:val="18"/>
          <w:lang w:val="en-GB"/>
        </w:rPr>
        <w:t>re acceptable in the case of diffuse and</w:t>
      </w:r>
      <w:r w:rsidRPr="00E24547">
        <w:rPr>
          <w:rStyle w:val="FootnoteReference"/>
          <w:sz w:val="18"/>
          <w:szCs w:val="18"/>
          <w:vertAlign w:val="baseline"/>
          <w:lang w:val="en-GB"/>
        </w:rPr>
        <w:t xml:space="preserve"> integral hotels and/or</w:t>
      </w:r>
      <w:r w:rsidRPr="00E24547">
        <w:rPr>
          <w:sz w:val="18"/>
          <w:szCs w:val="18"/>
          <w:lang w:val="en-GB"/>
        </w:rPr>
        <w:t xml:space="preserve"> if it is land or a building that is used on the basis of a concession contract or the right to build</w:t>
      </w:r>
      <w:r w:rsidRPr="00E24547">
        <w:rPr>
          <w:rStyle w:val="FootnoteReference"/>
          <w:sz w:val="18"/>
          <w:szCs w:val="18"/>
          <w:vertAlign w:val="baseline"/>
          <w:lang w:val="en-GB"/>
        </w:rPr>
        <w:t>, lease</w:t>
      </w:r>
      <w:r w:rsidRPr="00E24547">
        <w:rPr>
          <w:sz w:val="18"/>
          <w:szCs w:val="18"/>
          <w:lang w:val="en-GB"/>
        </w:rPr>
        <w:t xml:space="preserve"> or rent</w:t>
      </w:r>
      <w:r w:rsidRPr="00E24547">
        <w:rPr>
          <w:rStyle w:val="FootnoteReference"/>
          <w:sz w:val="18"/>
          <w:szCs w:val="18"/>
          <w:vertAlign w:val="baseline"/>
          <w:lang w:val="en-GB"/>
        </w:rPr>
        <w:t xml:space="preserve">, </w:t>
      </w:r>
      <w:r w:rsidRPr="00E24547">
        <w:rPr>
          <w:sz w:val="18"/>
          <w:szCs w:val="18"/>
          <w:lang w:val="en-GB"/>
        </w:rPr>
        <w:t>provided that the period of concession, lease or rent cannot be shorter than the loan repayment term</w:t>
      </w:r>
      <w:r w:rsidRPr="00E24547">
        <w:rPr>
          <w:rStyle w:val="FootnoteReference"/>
          <w:sz w:val="18"/>
          <w:szCs w:val="18"/>
          <w:vertAlign w:val="baseline"/>
          <w:lang w:val="en-GB"/>
        </w:rPr>
        <w:t>.</w:t>
      </w:r>
    </w:p>
  </w:footnote>
  <w:footnote w:id="15">
    <w:p w14:paraId="03C11C5B" w14:textId="025853D0" w:rsidR="005F01FB" w:rsidRPr="00E24547" w:rsidRDefault="005F01FB" w:rsidP="005F01FB">
      <w:pPr>
        <w:pStyle w:val="FootnoteText"/>
        <w:spacing w:before="120"/>
        <w:jc w:val="both"/>
        <w:rPr>
          <w:sz w:val="18"/>
          <w:szCs w:val="18"/>
          <w:lang w:val="en-GB"/>
        </w:rPr>
      </w:pPr>
      <w:r w:rsidRPr="00E24547">
        <w:rPr>
          <w:rStyle w:val="FootnoteReference"/>
          <w:lang w:val="en-GB"/>
        </w:rPr>
        <w:footnoteRef/>
      </w:r>
      <w:r w:rsidRPr="00E24547">
        <w:rPr>
          <w:rStyle w:val="FootnoteReference"/>
          <w:lang w:val="en-GB"/>
        </w:rPr>
        <w:t xml:space="preserve"> </w:t>
      </w:r>
      <w:r w:rsidR="00E951B3">
        <w:rPr>
          <w:sz w:val="18"/>
          <w:szCs w:val="18"/>
          <w:lang w:val="en-GB"/>
        </w:rPr>
        <w:t>As an e</w:t>
      </w:r>
      <w:r w:rsidRPr="00E24547">
        <w:rPr>
          <w:sz w:val="18"/>
          <w:szCs w:val="18"/>
          <w:lang w:val="en-GB"/>
        </w:rPr>
        <w:t>xception</w:t>
      </w:r>
      <w:r w:rsidRPr="00E24547">
        <w:rPr>
          <w:rStyle w:val="FootnoteReference"/>
          <w:sz w:val="18"/>
          <w:szCs w:val="18"/>
          <w:vertAlign w:val="baseline"/>
          <w:lang w:val="en-GB"/>
        </w:rPr>
        <w:t>, i</w:t>
      </w:r>
      <w:r w:rsidRPr="00E24547">
        <w:rPr>
          <w:sz w:val="18"/>
          <w:szCs w:val="18"/>
          <w:lang w:val="en-GB"/>
        </w:rPr>
        <w:t xml:space="preserve">t is acceptable to finance working capital for </w:t>
      </w:r>
      <w:r w:rsidR="00EB7CB5">
        <w:rPr>
          <w:sz w:val="18"/>
          <w:szCs w:val="18"/>
          <w:lang w:val="en-GB"/>
        </w:rPr>
        <w:t>trade</w:t>
      </w:r>
      <w:r w:rsidRPr="00E24547">
        <w:rPr>
          <w:sz w:val="18"/>
          <w:szCs w:val="18"/>
          <w:lang w:val="en-GB"/>
        </w:rPr>
        <w:t xml:space="preserve"> activities of:</w:t>
      </w:r>
    </w:p>
    <w:p w14:paraId="226983E3" w14:textId="77777777" w:rsidR="005F01FB" w:rsidRPr="00E24547" w:rsidRDefault="005F01FB" w:rsidP="005F01FB">
      <w:pPr>
        <w:pStyle w:val="FootnoteText"/>
        <w:numPr>
          <w:ilvl w:val="0"/>
          <w:numId w:val="15"/>
        </w:numPr>
        <w:jc w:val="both"/>
        <w:rPr>
          <w:rStyle w:val="FootnoteReference"/>
          <w:sz w:val="18"/>
          <w:szCs w:val="18"/>
          <w:vertAlign w:val="baseline"/>
          <w:lang w:val="en-GB"/>
        </w:rPr>
      </w:pPr>
      <w:r w:rsidRPr="00E24547">
        <w:rPr>
          <w:rStyle w:val="FootnoteReference"/>
          <w:sz w:val="18"/>
          <w:szCs w:val="18"/>
          <w:vertAlign w:val="baseline"/>
          <w:lang w:val="en-GB"/>
        </w:rPr>
        <w:t>B</w:t>
      </w:r>
      <w:r w:rsidRPr="00E24547">
        <w:rPr>
          <w:sz w:val="18"/>
          <w:szCs w:val="18"/>
          <w:lang w:val="en-GB"/>
        </w:rPr>
        <w:t>usiness entities engaged in purchasing of agricultural production and</w:t>
      </w:r>
      <w:r w:rsidRPr="00E24547">
        <w:rPr>
          <w:rStyle w:val="FootnoteReference"/>
          <w:sz w:val="18"/>
          <w:szCs w:val="18"/>
          <w:vertAlign w:val="baseline"/>
          <w:lang w:val="en-GB"/>
        </w:rPr>
        <w:t xml:space="preserve">/or </w:t>
      </w:r>
      <w:r w:rsidRPr="00E24547">
        <w:rPr>
          <w:sz w:val="18"/>
          <w:szCs w:val="18"/>
          <w:lang w:val="en-GB"/>
        </w:rPr>
        <w:t xml:space="preserve">supplying agricultural producers with </w:t>
      </w:r>
      <w:r w:rsidRPr="00E24547">
        <w:rPr>
          <w:rStyle w:val="FootnoteReference"/>
          <w:sz w:val="18"/>
          <w:szCs w:val="18"/>
          <w:vertAlign w:val="baseline"/>
          <w:lang w:val="en-GB"/>
        </w:rPr>
        <w:t>r</w:t>
      </w:r>
      <w:r w:rsidRPr="00E24547">
        <w:rPr>
          <w:sz w:val="18"/>
          <w:szCs w:val="18"/>
          <w:lang w:val="en-GB"/>
        </w:rPr>
        <w:t>aw materials, seeds etc.</w:t>
      </w:r>
      <w:r w:rsidRPr="00E24547">
        <w:rPr>
          <w:rStyle w:val="FootnoteReference"/>
          <w:sz w:val="18"/>
          <w:szCs w:val="18"/>
          <w:vertAlign w:val="baseline"/>
          <w:lang w:val="en-GB"/>
        </w:rPr>
        <w:t>;</w:t>
      </w:r>
    </w:p>
    <w:p w14:paraId="44F5511D" w14:textId="77777777" w:rsidR="005F01FB" w:rsidRPr="00E24547" w:rsidRDefault="005F01FB" w:rsidP="005F01FB">
      <w:pPr>
        <w:pStyle w:val="FootnoteText"/>
        <w:numPr>
          <w:ilvl w:val="0"/>
          <w:numId w:val="15"/>
        </w:numPr>
        <w:jc w:val="both"/>
        <w:rPr>
          <w:sz w:val="18"/>
          <w:szCs w:val="18"/>
          <w:lang w:val="en-GB"/>
        </w:rPr>
      </w:pPr>
      <w:r w:rsidRPr="00E24547">
        <w:rPr>
          <w:rStyle w:val="FootnoteReference"/>
          <w:sz w:val="18"/>
          <w:szCs w:val="18"/>
          <w:vertAlign w:val="baseline"/>
          <w:lang w:val="en-GB"/>
        </w:rPr>
        <w:t>W</w:t>
      </w:r>
      <w:r w:rsidRPr="00E24547">
        <w:rPr>
          <w:sz w:val="18"/>
          <w:szCs w:val="18"/>
          <w:lang w:val="en-GB"/>
        </w:rPr>
        <w:t>holesale trade when it is an important part of the supply chain in the processing industry</w:t>
      </w:r>
      <w:r w:rsidRPr="00E24547">
        <w:rPr>
          <w:rStyle w:val="FootnoteReference"/>
          <w:sz w:val="18"/>
          <w:szCs w:val="18"/>
          <w:vertAlign w:val="baseline"/>
          <w:lang w:val="en-GB"/>
        </w:rPr>
        <w:t>, fisheries and tourism industry</w:t>
      </w:r>
      <w:r w:rsidRPr="00E24547">
        <w:rPr>
          <w:sz w:val="18"/>
          <w:szCs w:val="18"/>
          <w:lang w:val="en-GB"/>
        </w:rPr>
        <w:t>;</w:t>
      </w:r>
    </w:p>
    <w:p w14:paraId="1235A17A" w14:textId="77777777" w:rsidR="005F01FB" w:rsidRPr="00E24547" w:rsidRDefault="005F01FB" w:rsidP="005F01FB">
      <w:pPr>
        <w:pStyle w:val="FootnoteText"/>
        <w:numPr>
          <w:ilvl w:val="0"/>
          <w:numId w:val="15"/>
        </w:numPr>
        <w:jc w:val="both"/>
        <w:rPr>
          <w:sz w:val="18"/>
          <w:szCs w:val="18"/>
          <w:lang w:val="en-GB"/>
        </w:rPr>
      </w:pPr>
      <w:r w:rsidRPr="00E24547">
        <w:rPr>
          <w:sz w:val="18"/>
          <w:szCs w:val="18"/>
          <w:lang w:val="en-GB"/>
        </w:rPr>
        <w:t>Business entities where a significant part of the business also relates to the production, processing, finishing of products etc. and/or to the services of processing, finishing of products etc. (at least 30% of income/receipts relate to the aforementioned activities, which can be established based on the structure of income/receipts of the business entity according to the activities for the previous business year);</w:t>
      </w:r>
    </w:p>
    <w:p w14:paraId="2E8073ED" w14:textId="77777777" w:rsidR="005F01FB" w:rsidRPr="00E24547" w:rsidRDefault="005F01FB" w:rsidP="005F01FB">
      <w:pPr>
        <w:pStyle w:val="FootnoteText"/>
        <w:numPr>
          <w:ilvl w:val="0"/>
          <w:numId w:val="15"/>
        </w:numPr>
        <w:jc w:val="both"/>
        <w:rPr>
          <w:sz w:val="18"/>
          <w:szCs w:val="18"/>
          <w:lang w:val="en-GB"/>
        </w:rPr>
      </w:pPr>
      <w:r w:rsidRPr="00E24547">
        <w:rPr>
          <w:sz w:val="18"/>
          <w:szCs w:val="18"/>
          <w:lang w:val="en-GB"/>
        </w:rPr>
        <w:t>If it is a loan through a commercial bank or a loan from the funds under the framework loan agreement with a commercial bank or a leasing company.</w:t>
      </w:r>
    </w:p>
  </w:footnote>
  <w:footnote w:id="16">
    <w:p w14:paraId="10EC2431" w14:textId="77777777" w:rsidR="005F01FB" w:rsidRPr="00E24547" w:rsidRDefault="005F01FB" w:rsidP="005F01FB">
      <w:pPr>
        <w:pStyle w:val="FootnoteText"/>
        <w:spacing w:before="120"/>
        <w:jc w:val="both"/>
        <w:rPr>
          <w:rStyle w:val="FootnoteReference"/>
          <w:sz w:val="18"/>
          <w:szCs w:val="18"/>
          <w:vertAlign w:val="baseline"/>
          <w:lang w:val="en-GB"/>
        </w:rPr>
      </w:pPr>
      <w:r w:rsidRPr="00E24547">
        <w:rPr>
          <w:rStyle w:val="FootnoteReference"/>
          <w:lang w:val="en-GB"/>
        </w:rPr>
        <w:footnoteRef/>
      </w:r>
      <w:r w:rsidRPr="00E24547">
        <w:rPr>
          <w:rStyle w:val="FootnoteReference"/>
          <w:lang w:val="en-GB"/>
        </w:rPr>
        <w:t xml:space="preserve"> </w:t>
      </w:r>
      <w:r w:rsidRPr="00E24547">
        <w:rPr>
          <w:rStyle w:val="FootnoteReference"/>
          <w:sz w:val="18"/>
          <w:szCs w:val="18"/>
          <w:vertAlign w:val="baseline"/>
          <w:lang w:val="en-GB"/>
        </w:rPr>
        <w:t>T</w:t>
      </w:r>
      <w:r w:rsidRPr="00E24547">
        <w:rPr>
          <w:sz w:val="18"/>
          <w:szCs w:val="18"/>
          <w:lang w:val="en-GB"/>
        </w:rPr>
        <w:t>he restriction applies to</w:t>
      </w:r>
      <w:r w:rsidRPr="00E24547">
        <w:rPr>
          <w:rStyle w:val="FootnoteReference"/>
          <w:sz w:val="18"/>
          <w:szCs w:val="18"/>
          <w:vertAlign w:val="baseline"/>
          <w:lang w:val="en-GB"/>
        </w:rPr>
        <w:t xml:space="preserve"> </w:t>
      </w:r>
      <w:r w:rsidRPr="00E24547">
        <w:rPr>
          <w:rFonts w:cs="Arial"/>
          <w:sz w:val="18"/>
          <w:szCs w:val="18"/>
          <w:lang w:val="en-GB"/>
        </w:rPr>
        <w:t>apartments, rooms and summer houses</w:t>
      </w:r>
      <w:r w:rsidRPr="00E24547">
        <w:rPr>
          <w:rStyle w:val="FootnoteReference"/>
          <w:sz w:val="18"/>
          <w:szCs w:val="18"/>
          <w:vertAlign w:val="baseline"/>
          <w:lang w:val="en-GB"/>
        </w:rPr>
        <w:t xml:space="preserve"> </w:t>
      </w:r>
      <w:r w:rsidRPr="00E24547">
        <w:rPr>
          <w:sz w:val="18"/>
          <w:szCs w:val="18"/>
          <w:lang w:val="en-GB"/>
        </w:rPr>
        <w:t xml:space="preserve">to let </w:t>
      </w:r>
      <w:r w:rsidRPr="00E24547">
        <w:rPr>
          <w:rFonts w:cs="Arial"/>
          <w:sz w:val="18"/>
          <w:szCs w:val="18"/>
          <w:lang w:val="en-GB"/>
        </w:rPr>
        <w:t>pursuant to the Ordinance on Classification and Categorization of Catering Facilities in the group Other Accommodation Facilities</w:t>
      </w:r>
      <w:r w:rsidRPr="00E24547">
        <w:rPr>
          <w:rStyle w:val="FootnoteReference"/>
          <w:sz w:val="18"/>
          <w:szCs w:val="18"/>
          <w:vertAlign w:val="baseline"/>
          <w:lang w:val="en-GB"/>
        </w:rPr>
        <w:t>.</w:t>
      </w:r>
    </w:p>
    <w:p w14:paraId="4E351E27" w14:textId="77777777" w:rsidR="005F01FB" w:rsidRPr="00E24547" w:rsidRDefault="005F01FB" w:rsidP="005F01FB">
      <w:pPr>
        <w:pStyle w:val="FootnoteText"/>
        <w:jc w:val="both"/>
        <w:rPr>
          <w:rStyle w:val="FootnoteReference"/>
          <w:sz w:val="18"/>
          <w:szCs w:val="18"/>
          <w:vertAlign w:val="baseline"/>
          <w:lang w:val="en-GB"/>
        </w:rPr>
      </w:pPr>
      <w:r w:rsidRPr="00E24547">
        <w:rPr>
          <w:rFonts w:cs="Arial"/>
          <w:sz w:val="18"/>
          <w:szCs w:val="18"/>
          <w:lang w:val="en-GB"/>
        </w:rPr>
        <w:t>As an exception, investment in apartments, rooms or summer houses to let is eligible</w:t>
      </w:r>
      <w:r w:rsidRPr="00E24547">
        <w:rPr>
          <w:rStyle w:val="FootnoteReference"/>
          <w:sz w:val="18"/>
          <w:szCs w:val="18"/>
          <w:vertAlign w:val="baseline"/>
          <w:lang w:val="en-GB"/>
        </w:rPr>
        <w:t>:</w:t>
      </w:r>
    </w:p>
    <w:p w14:paraId="66D29A67" w14:textId="77777777" w:rsidR="005F01FB" w:rsidRPr="00E24547" w:rsidRDefault="005F01FB" w:rsidP="005F01FB">
      <w:pPr>
        <w:pStyle w:val="FootnoteText"/>
        <w:numPr>
          <w:ilvl w:val="0"/>
          <w:numId w:val="17"/>
        </w:numPr>
        <w:jc w:val="both"/>
        <w:rPr>
          <w:rStyle w:val="FootnoteReference"/>
          <w:sz w:val="18"/>
          <w:szCs w:val="18"/>
          <w:vertAlign w:val="baseline"/>
          <w:lang w:val="en-GB"/>
        </w:rPr>
      </w:pPr>
      <w:r w:rsidRPr="00E24547">
        <w:rPr>
          <w:rStyle w:val="FootnoteReference"/>
          <w:sz w:val="18"/>
          <w:szCs w:val="18"/>
          <w:vertAlign w:val="baseline"/>
          <w:lang w:val="en-GB"/>
        </w:rPr>
        <w:t>I</w:t>
      </w:r>
      <w:r w:rsidRPr="00E24547">
        <w:rPr>
          <w:sz w:val="18"/>
          <w:szCs w:val="18"/>
          <w:lang w:val="en-GB"/>
        </w:rPr>
        <w:t>n supported areas</w:t>
      </w:r>
      <w:r w:rsidRPr="00E24547">
        <w:rPr>
          <w:rStyle w:val="FootnoteReference"/>
          <w:sz w:val="18"/>
          <w:szCs w:val="18"/>
          <w:vertAlign w:val="baseline"/>
          <w:lang w:val="en-GB"/>
        </w:rPr>
        <w:t xml:space="preserve"> - </w:t>
      </w:r>
      <w:r w:rsidRPr="00E24547">
        <w:rPr>
          <w:rFonts w:cs="Arial"/>
          <w:sz w:val="18"/>
          <w:szCs w:val="18"/>
          <w:lang w:val="en-GB"/>
        </w:rPr>
        <w:t xml:space="preserve">local government units classified into groups I, II, III or IV, or hill or mountain areas or the islands classified into group </w:t>
      </w:r>
      <w:r w:rsidRPr="00E24547">
        <w:rPr>
          <w:rStyle w:val="FootnoteReference"/>
          <w:sz w:val="18"/>
          <w:szCs w:val="18"/>
          <w:vertAlign w:val="baseline"/>
          <w:lang w:val="en-GB"/>
        </w:rPr>
        <w:t>I;</w:t>
      </w:r>
    </w:p>
    <w:p w14:paraId="387A5243" w14:textId="77777777" w:rsidR="005F01FB" w:rsidRPr="00E24547" w:rsidRDefault="005F01FB" w:rsidP="005F01FB">
      <w:pPr>
        <w:pStyle w:val="FootnoteText"/>
        <w:numPr>
          <w:ilvl w:val="0"/>
          <w:numId w:val="17"/>
        </w:numPr>
        <w:jc w:val="both"/>
        <w:rPr>
          <w:rStyle w:val="FootnoteReference"/>
          <w:sz w:val="18"/>
          <w:szCs w:val="18"/>
          <w:vertAlign w:val="baseline"/>
          <w:lang w:val="en-GB"/>
        </w:rPr>
      </w:pPr>
      <w:r w:rsidRPr="00E24547">
        <w:rPr>
          <w:rFonts w:cs="Arial"/>
          <w:sz w:val="18"/>
          <w:szCs w:val="18"/>
          <w:lang w:val="en-GB"/>
        </w:rPr>
        <w:t>in the case of traditional buildings (individual buildings that are protected as cultural goods, buildings located in settlement zones that are protected as cultural goods or are located in contact zones of protected zones, and all other individual buildings that are being built/reconstructed in accordance with the special conditions of the conservator regarding traditional construction, where the term conservator is considered to be the Conservation Department of the Ministry of Culture or another public legal body responsible for the protection of cultural property</w:t>
      </w:r>
      <w:r w:rsidRPr="00E24547">
        <w:rPr>
          <w:rStyle w:val="FootnoteReference"/>
          <w:sz w:val="18"/>
          <w:szCs w:val="18"/>
          <w:vertAlign w:val="baseline"/>
          <w:lang w:val="en-GB"/>
        </w:rPr>
        <w:t>).</w:t>
      </w:r>
    </w:p>
    <w:p w14:paraId="47B29CF2" w14:textId="77777777" w:rsidR="005F01FB" w:rsidRPr="00E24547" w:rsidRDefault="005F01FB" w:rsidP="005F01FB">
      <w:pPr>
        <w:pStyle w:val="FootnoteText"/>
        <w:jc w:val="both"/>
        <w:rPr>
          <w:lang w:val="en-GB"/>
        </w:rPr>
      </w:pPr>
      <w:r w:rsidRPr="00E24547">
        <w:rPr>
          <w:rFonts w:cs="Arial"/>
          <w:sz w:val="18"/>
          <w:szCs w:val="18"/>
          <w:lang w:val="en-GB"/>
        </w:rPr>
        <w:t>For tourist apartments pursuant to the Ordinance on Classification and Categorisation and special standards for catering facilities in the group Hotels, there are no restrictions on lending</w:t>
      </w:r>
      <w:r w:rsidRPr="00E24547">
        <w:rPr>
          <w:rStyle w:val="FootnoteReference"/>
          <w:sz w:val="18"/>
          <w:szCs w:val="18"/>
          <w:vertAlign w:val="baseline"/>
          <w:lang w:val="en-GB"/>
        </w:rPr>
        <w:t>.</w:t>
      </w:r>
    </w:p>
  </w:footnote>
  <w:footnote w:id="17">
    <w:p w14:paraId="2A3BCA21" w14:textId="77777777" w:rsidR="005F01FB" w:rsidRPr="00E24547" w:rsidRDefault="005F01FB" w:rsidP="005F01FB">
      <w:pPr>
        <w:pStyle w:val="FootnoteText"/>
        <w:spacing w:before="120"/>
        <w:jc w:val="both"/>
        <w:rPr>
          <w:lang w:val="en-GB"/>
        </w:rPr>
      </w:pPr>
      <w:r w:rsidRPr="00E24547">
        <w:rPr>
          <w:rStyle w:val="FootnoteReference"/>
          <w:lang w:val="en-GB"/>
        </w:rPr>
        <w:footnoteRef/>
      </w:r>
      <w:r w:rsidRPr="00E24547">
        <w:rPr>
          <w:rStyle w:val="FootnoteReference"/>
          <w:lang w:val="en-GB"/>
        </w:rPr>
        <w:t xml:space="preserve"> </w:t>
      </w:r>
      <w:r w:rsidRPr="00E24547">
        <w:rPr>
          <w:rStyle w:val="FootnoteReference"/>
          <w:sz w:val="18"/>
          <w:szCs w:val="18"/>
          <w:vertAlign w:val="baseline"/>
          <w:lang w:val="en-GB"/>
        </w:rPr>
        <w:t>A</w:t>
      </w:r>
      <w:r w:rsidRPr="00E24547">
        <w:rPr>
          <w:sz w:val="18"/>
          <w:szCs w:val="18"/>
          <w:lang w:val="en-GB"/>
        </w:rPr>
        <w:t>s an exception</w:t>
      </w:r>
      <w:r w:rsidRPr="00E24547">
        <w:rPr>
          <w:rStyle w:val="FootnoteReference"/>
          <w:sz w:val="18"/>
          <w:szCs w:val="18"/>
          <w:vertAlign w:val="baseline"/>
          <w:lang w:val="en-GB"/>
        </w:rPr>
        <w:t>, e</w:t>
      </w:r>
      <w:r w:rsidRPr="00E24547">
        <w:rPr>
          <w:sz w:val="18"/>
          <w:szCs w:val="18"/>
          <w:lang w:val="en-GB"/>
        </w:rPr>
        <w:t>ligible are capital investments of family-run residential care homes that have been operating for at least one year for the purpose of adaptation and reorganisation into an institution in accordance with the Social Welfare Act</w:t>
      </w:r>
      <w:r w:rsidRPr="00E24547">
        <w:rPr>
          <w:rStyle w:val="FootnoteReference"/>
          <w:sz w:val="18"/>
          <w:szCs w:val="18"/>
          <w:vertAlign w:val="baseline"/>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F241" w14:textId="784538C9" w:rsidR="006372FA" w:rsidRDefault="00655642">
    <w:pPr>
      <w:pStyle w:val="Header"/>
      <w:tabs>
        <w:tab w:val="clear" w:pos="4536"/>
        <w:tab w:val="clear" w:pos="9072"/>
        <w:tab w:val="center" w:pos="4394"/>
      </w:tabs>
      <w:jc w:val="both"/>
    </w:pPr>
    <w:r w:rsidRPr="00D84EB7">
      <w:rPr>
        <w:noProof/>
      </w:rPr>
      <w:drawing>
        <wp:inline distT="0" distB="0" distL="0" distR="0" wp14:anchorId="12A0726E" wp14:editId="30529FBB">
          <wp:extent cx="2157639"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3023" cy="6779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1"/>
    <w:lvl w:ilvl="0">
      <w:start w:val="1"/>
      <w:numFmt w:val="bullet"/>
      <w:lvlText w:val=""/>
      <w:lvlJc w:val="left"/>
      <w:pPr>
        <w:tabs>
          <w:tab w:val="num" w:pos="720"/>
        </w:tabs>
        <w:ind w:left="720" w:hanging="360"/>
      </w:pPr>
      <w:rPr>
        <w:rFonts w:ascii="Symbol" w:hAnsi="Symbol"/>
      </w:rPr>
    </w:lvl>
  </w:abstractNum>
  <w:abstractNum w:abstractNumId="1" w15:restartNumberingAfterBreak="0">
    <w:nsid w:val="02A93DE0"/>
    <w:multiLevelType w:val="hybridMultilevel"/>
    <w:tmpl w:val="0B22963A"/>
    <w:lvl w:ilvl="0" w:tplc="474ECDD6">
      <w:start w:val="1"/>
      <w:numFmt w:val="decimal"/>
      <w:pStyle w:val="Stavci"/>
      <w:lvlText w:val="(%1)"/>
      <w:lvlJc w:val="left"/>
      <w:pPr>
        <w:ind w:left="360" w:hanging="360"/>
      </w:pPr>
      <w:rPr>
        <w:rFonts w:hint="default"/>
        <w:b w:val="0"/>
      </w:rPr>
    </w:lvl>
    <w:lvl w:ilvl="1" w:tplc="C7E8B4AE">
      <w:start w:val="1"/>
      <w:numFmt w:val="lowerRoman"/>
      <w:lvlText w:val="%2)"/>
      <w:lvlJc w:val="left"/>
      <w:pPr>
        <w:ind w:left="1080" w:hanging="360"/>
      </w:pPr>
      <w:rPr>
        <w:rFonts w:hint="default"/>
        <w:b w:val="0"/>
        <w:color w:val="000000"/>
      </w:rPr>
    </w:lvl>
    <w:lvl w:ilvl="2" w:tplc="0409001B">
      <w:start w:val="1"/>
      <w:numFmt w:val="lowerRoman"/>
      <w:lvlText w:val="%3."/>
      <w:lvlJc w:val="right"/>
      <w:pPr>
        <w:ind w:left="1800" w:hanging="180"/>
      </w:pPr>
    </w:lvl>
    <w:lvl w:ilvl="3" w:tplc="07D25D7A">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182BCB"/>
    <w:multiLevelType w:val="hybridMultilevel"/>
    <w:tmpl w:val="2A2E7192"/>
    <w:lvl w:ilvl="0" w:tplc="5806475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EB3656"/>
    <w:multiLevelType w:val="hybridMultilevel"/>
    <w:tmpl w:val="CC763F64"/>
    <w:lvl w:ilvl="0" w:tplc="5596DB24">
      <w:start w:val="1"/>
      <w:numFmt w:val="lowerRoman"/>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83B4D65"/>
    <w:multiLevelType w:val="hybridMultilevel"/>
    <w:tmpl w:val="1CB219B4"/>
    <w:lvl w:ilvl="0" w:tplc="ED5680D2">
      <w:start w:val="1"/>
      <w:numFmt w:val="lowerRoman"/>
      <w:lvlText w:val="(%1)"/>
      <w:lvlJc w:val="left"/>
      <w:pPr>
        <w:ind w:left="1480" w:hanging="360"/>
      </w:pPr>
      <w:rPr>
        <w:rFonts w:hint="default"/>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5" w15:restartNumberingAfterBreak="0">
    <w:nsid w:val="1D2C4510"/>
    <w:multiLevelType w:val="hybridMultilevel"/>
    <w:tmpl w:val="CC763F64"/>
    <w:lvl w:ilvl="0" w:tplc="5596DB24">
      <w:start w:val="1"/>
      <w:numFmt w:val="lowerRoman"/>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8BB4D70"/>
    <w:multiLevelType w:val="hybridMultilevel"/>
    <w:tmpl w:val="1CB219B4"/>
    <w:lvl w:ilvl="0" w:tplc="ED5680D2">
      <w:start w:val="1"/>
      <w:numFmt w:val="lowerRoman"/>
      <w:lvlText w:val="(%1)"/>
      <w:lvlJc w:val="left"/>
      <w:pPr>
        <w:ind w:left="1480" w:hanging="360"/>
      </w:pPr>
      <w:rPr>
        <w:rFonts w:hint="default"/>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7" w15:restartNumberingAfterBreak="0">
    <w:nsid w:val="2B1035B1"/>
    <w:multiLevelType w:val="hybridMultilevel"/>
    <w:tmpl w:val="16D8C4AC"/>
    <w:lvl w:ilvl="0" w:tplc="BB6E184E">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F9F6959"/>
    <w:multiLevelType w:val="multilevel"/>
    <w:tmpl w:val="F4922B24"/>
    <w:lvl w:ilvl="0">
      <w:start w:val="1"/>
      <w:numFmt w:val="upperRoman"/>
      <w:pStyle w:val="HeadingA"/>
      <w:lvlText w:val="%1."/>
      <w:lvlJc w:val="right"/>
      <w:pPr>
        <w:ind w:left="720" w:hanging="360"/>
      </w:p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800" w:hanging="144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2160" w:hanging="1800"/>
      </w:pPr>
      <w:rPr>
        <w:rFonts w:hint="default"/>
        <w:b/>
        <w:u w:val="none"/>
      </w:rPr>
    </w:lvl>
  </w:abstractNum>
  <w:abstractNum w:abstractNumId="9" w15:restartNumberingAfterBreak="0">
    <w:nsid w:val="4BE54246"/>
    <w:multiLevelType w:val="multilevel"/>
    <w:tmpl w:val="54304A6C"/>
    <w:lvl w:ilvl="0">
      <w:start w:val="1"/>
      <w:numFmt w:val="decimal"/>
      <w:lvlText w:val="(%1)"/>
      <w:lvlJc w:val="left"/>
      <w:rPr>
        <w:rFonts w:ascii="Arial" w:hAnsi="Arial" w:cs="Arial" w:hint="default"/>
        <w:b w:val="0"/>
        <w:bCs w:val="0"/>
        <w:i w:val="0"/>
        <w:iCs w:val="0"/>
        <w:smallCaps w:val="0"/>
        <w:strike w:val="0"/>
        <w:color w:val="auto"/>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A0414C"/>
    <w:multiLevelType w:val="multilevel"/>
    <w:tmpl w:val="573613FA"/>
    <w:lvl w:ilvl="0">
      <w:start w:val="1"/>
      <w:numFmt w:val="decimal"/>
      <w:pStyle w:val="Heading1"/>
      <w:lvlText w:val="%1"/>
      <w:lvlJc w:val="left"/>
      <w:pPr>
        <w:ind w:left="432" w:hanging="432"/>
      </w:pPr>
      <w:rPr>
        <w:rFonts w:hint="default"/>
        <w:sz w:val="22"/>
      </w:rPr>
    </w:lvl>
    <w:lvl w:ilvl="1">
      <w:start w:val="1"/>
      <w:numFmt w:val="decimalZero"/>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3982AB4"/>
    <w:multiLevelType w:val="hybridMultilevel"/>
    <w:tmpl w:val="4B5466B6"/>
    <w:lvl w:ilvl="0" w:tplc="ED5680D2">
      <w:start w:val="1"/>
      <w:numFmt w:val="low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62457F4"/>
    <w:multiLevelType w:val="multilevel"/>
    <w:tmpl w:val="860E4BCA"/>
    <w:lvl w:ilvl="0">
      <w:start w:val="1"/>
      <w:numFmt w:val="decimal"/>
      <w:lvlText w:val="(%1)"/>
      <w:lvlJc w:val="left"/>
      <w:rPr>
        <w:rFonts w:hint="default"/>
        <w:b w:val="0"/>
        <w:bCs w:val="0"/>
        <w:i w:val="0"/>
        <w:iCs w:val="0"/>
        <w:smallCaps w:val="0"/>
        <w:strike w:val="0"/>
        <w:color w:val="auto"/>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9B0A2F"/>
    <w:multiLevelType w:val="multilevel"/>
    <w:tmpl w:val="0F62679E"/>
    <w:lvl w:ilvl="0">
      <w:start w:val="1"/>
      <w:numFmt w:val="decimal"/>
      <w:lvlText w:val="%1."/>
      <w:lvlJc w:val="left"/>
      <w:pPr>
        <w:ind w:left="360" w:hanging="360"/>
      </w:pPr>
      <w:rPr>
        <w:color w:val="2F5496" w:themeColor="accent1" w:themeShade="BF"/>
      </w:rPr>
    </w:lvl>
    <w:lvl w:ilvl="1">
      <w:start w:val="1"/>
      <w:numFmt w:val="decimal"/>
      <w:lvlText w:val="%1.%2."/>
      <w:lvlJc w:val="left"/>
      <w:pPr>
        <w:ind w:left="792" w:hanging="432"/>
      </w:pPr>
      <w:rPr>
        <w:rFonts w:ascii="Arial" w:hAnsi="Arial" w:cs="Arial" w:hint="default"/>
        <w:b/>
        <w:color w:val="2F5496" w:themeColor="accent1" w:themeShade="BF"/>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082838"/>
    <w:multiLevelType w:val="hybridMultilevel"/>
    <w:tmpl w:val="4B5466B6"/>
    <w:lvl w:ilvl="0" w:tplc="ED5680D2">
      <w:start w:val="1"/>
      <w:numFmt w:val="lowerRoman"/>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EC308F5"/>
    <w:multiLevelType w:val="hybridMultilevel"/>
    <w:tmpl w:val="CC763F64"/>
    <w:lvl w:ilvl="0" w:tplc="5596DB24">
      <w:start w:val="1"/>
      <w:numFmt w:val="lowerRoman"/>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71E8163A"/>
    <w:multiLevelType w:val="hybridMultilevel"/>
    <w:tmpl w:val="AEB01656"/>
    <w:lvl w:ilvl="0" w:tplc="BB6E184E">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6B373DB"/>
    <w:multiLevelType w:val="hybridMultilevel"/>
    <w:tmpl w:val="CBA02F9A"/>
    <w:lvl w:ilvl="0" w:tplc="0A6400FA">
      <w:start w:val="1"/>
      <w:numFmt w:val="low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49877964">
    <w:abstractNumId w:val="10"/>
  </w:num>
  <w:num w:numId="2" w16cid:durableId="1268736971">
    <w:abstractNumId w:val="8"/>
  </w:num>
  <w:num w:numId="3" w16cid:durableId="779952417">
    <w:abstractNumId w:val="12"/>
  </w:num>
  <w:num w:numId="4" w16cid:durableId="1576625473">
    <w:abstractNumId w:val="13"/>
  </w:num>
  <w:num w:numId="5" w16cid:durableId="826097675">
    <w:abstractNumId w:val="6"/>
  </w:num>
  <w:num w:numId="6" w16cid:durableId="899828619">
    <w:abstractNumId w:val="4"/>
  </w:num>
  <w:num w:numId="7" w16cid:durableId="423888619">
    <w:abstractNumId w:val="1"/>
  </w:num>
  <w:num w:numId="8" w16cid:durableId="1816793380">
    <w:abstractNumId w:val="7"/>
  </w:num>
  <w:num w:numId="9" w16cid:durableId="1144348509">
    <w:abstractNumId w:val="3"/>
  </w:num>
  <w:num w:numId="10" w16cid:durableId="1808670318">
    <w:abstractNumId w:val="15"/>
  </w:num>
  <w:num w:numId="11" w16cid:durableId="1600604605">
    <w:abstractNumId w:val="5"/>
  </w:num>
  <w:num w:numId="12" w16cid:durableId="1513104810">
    <w:abstractNumId w:val="9"/>
  </w:num>
  <w:num w:numId="13" w16cid:durableId="1267540896">
    <w:abstractNumId w:val="16"/>
  </w:num>
  <w:num w:numId="14" w16cid:durableId="817957566">
    <w:abstractNumId w:val="14"/>
  </w:num>
  <w:num w:numId="15" w16cid:durableId="122121747">
    <w:abstractNumId w:val="11"/>
  </w:num>
  <w:num w:numId="16" w16cid:durableId="1359282253">
    <w:abstractNumId w:val="8"/>
  </w:num>
  <w:num w:numId="17" w16cid:durableId="1865634078">
    <w:abstractNumId w:val="17"/>
  </w:num>
  <w:num w:numId="18" w16cid:durableId="116735713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2FA"/>
    <w:rsid w:val="000010CE"/>
    <w:rsid w:val="00002DF0"/>
    <w:rsid w:val="00002EEC"/>
    <w:rsid w:val="00003F32"/>
    <w:rsid w:val="00005405"/>
    <w:rsid w:val="00006BC7"/>
    <w:rsid w:val="000101CF"/>
    <w:rsid w:val="000112AC"/>
    <w:rsid w:val="000143BF"/>
    <w:rsid w:val="0001654B"/>
    <w:rsid w:val="000219C8"/>
    <w:rsid w:val="00022129"/>
    <w:rsid w:val="0002653F"/>
    <w:rsid w:val="00027D7D"/>
    <w:rsid w:val="00031F81"/>
    <w:rsid w:val="00032A2A"/>
    <w:rsid w:val="00033658"/>
    <w:rsid w:val="00034579"/>
    <w:rsid w:val="000357CC"/>
    <w:rsid w:val="00035F73"/>
    <w:rsid w:val="0003677B"/>
    <w:rsid w:val="0004028E"/>
    <w:rsid w:val="00040A7C"/>
    <w:rsid w:val="00040B26"/>
    <w:rsid w:val="00041111"/>
    <w:rsid w:val="0004145C"/>
    <w:rsid w:val="0004145E"/>
    <w:rsid w:val="000414C1"/>
    <w:rsid w:val="0004279C"/>
    <w:rsid w:val="00046985"/>
    <w:rsid w:val="00046E43"/>
    <w:rsid w:val="00052E33"/>
    <w:rsid w:val="00055878"/>
    <w:rsid w:val="00056118"/>
    <w:rsid w:val="00056266"/>
    <w:rsid w:val="000567D0"/>
    <w:rsid w:val="0005698C"/>
    <w:rsid w:val="00057C28"/>
    <w:rsid w:val="00057F09"/>
    <w:rsid w:val="00060BD1"/>
    <w:rsid w:val="000610A3"/>
    <w:rsid w:val="00062147"/>
    <w:rsid w:val="00063CC0"/>
    <w:rsid w:val="00064D66"/>
    <w:rsid w:val="00065189"/>
    <w:rsid w:val="000653C7"/>
    <w:rsid w:val="00065BA2"/>
    <w:rsid w:val="00066110"/>
    <w:rsid w:val="000665DD"/>
    <w:rsid w:val="00066CFC"/>
    <w:rsid w:val="00067F87"/>
    <w:rsid w:val="000709B7"/>
    <w:rsid w:val="00072DD2"/>
    <w:rsid w:val="000764C0"/>
    <w:rsid w:val="000801D9"/>
    <w:rsid w:val="00080AB8"/>
    <w:rsid w:val="00081E08"/>
    <w:rsid w:val="00082BA0"/>
    <w:rsid w:val="0008451D"/>
    <w:rsid w:val="00091C96"/>
    <w:rsid w:val="00092398"/>
    <w:rsid w:val="000924B1"/>
    <w:rsid w:val="000929D7"/>
    <w:rsid w:val="0009556F"/>
    <w:rsid w:val="000956D8"/>
    <w:rsid w:val="000A0443"/>
    <w:rsid w:val="000A0E6C"/>
    <w:rsid w:val="000A11B2"/>
    <w:rsid w:val="000A17AB"/>
    <w:rsid w:val="000A2409"/>
    <w:rsid w:val="000A27C0"/>
    <w:rsid w:val="000A2DA9"/>
    <w:rsid w:val="000A3360"/>
    <w:rsid w:val="000A54F6"/>
    <w:rsid w:val="000B0700"/>
    <w:rsid w:val="000B07E0"/>
    <w:rsid w:val="000B1F6C"/>
    <w:rsid w:val="000B20BC"/>
    <w:rsid w:val="000B2C05"/>
    <w:rsid w:val="000B3A02"/>
    <w:rsid w:val="000B47CB"/>
    <w:rsid w:val="000B4FD1"/>
    <w:rsid w:val="000B649E"/>
    <w:rsid w:val="000B7699"/>
    <w:rsid w:val="000C102F"/>
    <w:rsid w:val="000C12D7"/>
    <w:rsid w:val="000C1ED6"/>
    <w:rsid w:val="000C268B"/>
    <w:rsid w:val="000C47FD"/>
    <w:rsid w:val="000C54D4"/>
    <w:rsid w:val="000C6BB0"/>
    <w:rsid w:val="000C7371"/>
    <w:rsid w:val="000C77EA"/>
    <w:rsid w:val="000C7917"/>
    <w:rsid w:val="000C798A"/>
    <w:rsid w:val="000D360E"/>
    <w:rsid w:val="000D4163"/>
    <w:rsid w:val="000D433D"/>
    <w:rsid w:val="000D6088"/>
    <w:rsid w:val="000D6272"/>
    <w:rsid w:val="000D64B6"/>
    <w:rsid w:val="000D6F9B"/>
    <w:rsid w:val="000D78CD"/>
    <w:rsid w:val="000E0BD7"/>
    <w:rsid w:val="000E0FBC"/>
    <w:rsid w:val="000E1544"/>
    <w:rsid w:val="000E2146"/>
    <w:rsid w:val="000E2761"/>
    <w:rsid w:val="000E4F10"/>
    <w:rsid w:val="000E71F0"/>
    <w:rsid w:val="000F0A58"/>
    <w:rsid w:val="000F10D5"/>
    <w:rsid w:val="000F1430"/>
    <w:rsid w:val="000F1BB6"/>
    <w:rsid w:val="000F1D77"/>
    <w:rsid w:val="000F49D0"/>
    <w:rsid w:val="001003C1"/>
    <w:rsid w:val="00101448"/>
    <w:rsid w:val="00102571"/>
    <w:rsid w:val="001032E1"/>
    <w:rsid w:val="0010550B"/>
    <w:rsid w:val="00106A24"/>
    <w:rsid w:val="0011161B"/>
    <w:rsid w:val="00113BFC"/>
    <w:rsid w:val="00115CC8"/>
    <w:rsid w:val="00116240"/>
    <w:rsid w:val="00116DC6"/>
    <w:rsid w:val="00117FE7"/>
    <w:rsid w:val="00120240"/>
    <w:rsid w:val="00120B6D"/>
    <w:rsid w:val="0013175B"/>
    <w:rsid w:val="00132153"/>
    <w:rsid w:val="00133A79"/>
    <w:rsid w:val="001340C5"/>
    <w:rsid w:val="001350D1"/>
    <w:rsid w:val="001377AC"/>
    <w:rsid w:val="00142A15"/>
    <w:rsid w:val="00142CEF"/>
    <w:rsid w:val="001434F8"/>
    <w:rsid w:val="001469F3"/>
    <w:rsid w:val="00152141"/>
    <w:rsid w:val="001522FF"/>
    <w:rsid w:val="00152730"/>
    <w:rsid w:val="0015394B"/>
    <w:rsid w:val="00155B17"/>
    <w:rsid w:val="001564F1"/>
    <w:rsid w:val="00160F77"/>
    <w:rsid w:val="00162463"/>
    <w:rsid w:val="001636A9"/>
    <w:rsid w:val="00165847"/>
    <w:rsid w:val="00165D23"/>
    <w:rsid w:val="00166FFF"/>
    <w:rsid w:val="0016749D"/>
    <w:rsid w:val="00173078"/>
    <w:rsid w:val="001757A5"/>
    <w:rsid w:val="00175AA0"/>
    <w:rsid w:val="00176EFD"/>
    <w:rsid w:val="001778A4"/>
    <w:rsid w:val="00180AB2"/>
    <w:rsid w:val="00182C22"/>
    <w:rsid w:val="00186872"/>
    <w:rsid w:val="00186A66"/>
    <w:rsid w:val="00187BB0"/>
    <w:rsid w:val="00193A6B"/>
    <w:rsid w:val="001946A8"/>
    <w:rsid w:val="001947DC"/>
    <w:rsid w:val="001953B2"/>
    <w:rsid w:val="00196256"/>
    <w:rsid w:val="00196F43"/>
    <w:rsid w:val="0019715E"/>
    <w:rsid w:val="001A0342"/>
    <w:rsid w:val="001A2413"/>
    <w:rsid w:val="001A4F54"/>
    <w:rsid w:val="001A71DB"/>
    <w:rsid w:val="001B04C1"/>
    <w:rsid w:val="001B224E"/>
    <w:rsid w:val="001B25DD"/>
    <w:rsid w:val="001B2D65"/>
    <w:rsid w:val="001B3993"/>
    <w:rsid w:val="001B6338"/>
    <w:rsid w:val="001B729B"/>
    <w:rsid w:val="001B7A44"/>
    <w:rsid w:val="001C1807"/>
    <w:rsid w:val="001C3EB9"/>
    <w:rsid w:val="001C72DB"/>
    <w:rsid w:val="001C7F47"/>
    <w:rsid w:val="001D0A1C"/>
    <w:rsid w:val="001D1EA3"/>
    <w:rsid w:val="001D2ABF"/>
    <w:rsid w:val="001D3006"/>
    <w:rsid w:val="001D374C"/>
    <w:rsid w:val="001D3E9D"/>
    <w:rsid w:val="001D59A0"/>
    <w:rsid w:val="001D6414"/>
    <w:rsid w:val="001D6B7B"/>
    <w:rsid w:val="001D7FCF"/>
    <w:rsid w:val="001E014E"/>
    <w:rsid w:val="001E1D57"/>
    <w:rsid w:val="001E6554"/>
    <w:rsid w:val="001E70F4"/>
    <w:rsid w:val="001F22B6"/>
    <w:rsid w:val="001F22D9"/>
    <w:rsid w:val="001F48B9"/>
    <w:rsid w:val="001F51C9"/>
    <w:rsid w:val="002006B8"/>
    <w:rsid w:val="00200929"/>
    <w:rsid w:val="00200D19"/>
    <w:rsid w:val="00201364"/>
    <w:rsid w:val="00203FA3"/>
    <w:rsid w:val="00204968"/>
    <w:rsid w:val="00205829"/>
    <w:rsid w:val="00205A6C"/>
    <w:rsid w:val="00206E4A"/>
    <w:rsid w:val="0020714B"/>
    <w:rsid w:val="00211494"/>
    <w:rsid w:val="002124DA"/>
    <w:rsid w:val="00212CDA"/>
    <w:rsid w:val="00214221"/>
    <w:rsid w:val="00215082"/>
    <w:rsid w:val="002151D6"/>
    <w:rsid w:val="002204D5"/>
    <w:rsid w:val="00221BCC"/>
    <w:rsid w:val="00222FB5"/>
    <w:rsid w:val="00223639"/>
    <w:rsid w:val="00226B78"/>
    <w:rsid w:val="00227A87"/>
    <w:rsid w:val="002330CA"/>
    <w:rsid w:val="002355BE"/>
    <w:rsid w:val="00235E06"/>
    <w:rsid w:val="00236160"/>
    <w:rsid w:val="0023695A"/>
    <w:rsid w:val="00236AA6"/>
    <w:rsid w:val="00236AC3"/>
    <w:rsid w:val="00241242"/>
    <w:rsid w:val="00244C53"/>
    <w:rsid w:val="00244DA8"/>
    <w:rsid w:val="0024503B"/>
    <w:rsid w:val="00245891"/>
    <w:rsid w:val="0024595E"/>
    <w:rsid w:val="00247A8C"/>
    <w:rsid w:val="002504F0"/>
    <w:rsid w:val="00250E93"/>
    <w:rsid w:val="00251B2D"/>
    <w:rsid w:val="00253130"/>
    <w:rsid w:val="00253317"/>
    <w:rsid w:val="002600F3"/>
    <w:rsid w:val="002602C8"/>
    <w:rsid w:val="0026083E"/>
    <w:rsid w:val="00263062"/>
    <w:rsid w:val="00263DE9"/>
    <w:rsid w:val="0026482E"/>
    <w:rsid w:val="0026616A"/>
    <w:rsid w:val="00267832"/>
    <w:rsid w:val="00267C2C"/>
    <w:rsid w:val="002707B6"/>
    <w:rsid w:val="00270F8C"/>
    <w:rsid w:val="002730AC"/>
    <w:rsid w:val="00273564"/>
    <w:rsid w:val="00275BF5"/>
    <w:rsid w:val="00276FDA"/>
    <w:rsid w:val="002805F2"/>
    <w:rsid w:val="00280BDF"/>
    <w:rsid w:val="00280C96"/>
    <w:rsid w:val="00280DDF"/>
    <w:rsid w:val="00281BF8"/>
    <w:rsid w:val="00284C12"/>
    <w:rsid w:val="00290683"/>
    <w:rsid w:val="00290BC6"/>
    <w:rsid w:val="0029175D"/>
    <w:rsid w:val="00293F13"/>
    <w:rsid w:val="00294CB5"/>
    <w:rsid w:val="002A17FA"/>
    <w:rsid w:val="002A3C57"/>
    <w:rsid w:val="002A4A4D"/>
    <w:rsid w:val="002B028A"/>
    <w:rsid w:val="002B0989"/>
    <w:rsid w:val="002B13A8"/>
    <w:rsid w:val="002B2E23"/>
    <w:rsid w:val="002B4822"/>
    <w:rsid w:val="002B4CDD"/>
    <w:rsid w:val="002B5937"/>
    <w:rsid w:val="002B5F34"/>
    <w:rsid w:val="002B7B37"/>
    <w:rsid w:val="002C1DA7"/>
    <w:rsid w:val="002C3264"/>
    <w:rsid w:val="002C406B"/>
    <w:rsid w:val="002C5EB0"/>
    <w:rsid w:val="002C5ECC"/>
    <w:rsid w:val="002C628B"/>
    <w:rsid w:val="002C63D6"/>
    <w:rsid w:val="002D05BA"/>
    <w:rsid w:val="002D12E0"/>
    <w:rsid w:val="002D32D6"/>
    <w:rsid w:val="002D5EB5"/>
    <w:rsid w:val="002E060F"/>
    <w:rsid w:val="002E1395"/>
    <w:rsid w:val="002E23D1"/>
    <w:rsid w:val="002E27E7"/>
    <w:rsid w:val="002E3C45"/>
    <w:rsid w:val="002E59A8"/>
    <w:rsid w:val="002E5E44"/>
    <w:rsid w:val="002E60E0"/>
    <w:rsid w:val="002E72AF"/>
    <w:rsid w:val="002F055E"/>
    <w:rsid w:val="002F3600"/>
    <w:rsid w:val="002F36D0"/>
    <w:rsid w:val="002F37B0"/>
    <w:rsid w:val="002F6781"/>
    <w:rsid w:val="002F7767"/>
    <w:rsid w:val="002F77E7"/>
    <w:rsid w:val="00300B80"/>
    <w:rsid w:val="00300E31"/>
    <w:rsid w:val="003027F3"/>
    <w:rsid w:val="00303730"/>
    <w:rsid w:val="003067CE"/>
    <w:rsid w:val="00307038"/>
    <w:rsid w:val="00307316"/>
    <w:rsid w:val="00310B8C"/>
    <w:rsid w:val="00311C57"/>
    <w:rsid w:val="00312133"/>
    <w:rsid w:val="003123FD"/>
    <w:rsid w:val="00313D89"/>
    <w:rsid w:val="00322D9B"/>
    <w:rsid w:val="003240B0"/>
    <w:rsid w:val="003263DE"/>
    <w:rsid w:val="00327841"/>
    <w:rsid w:val="00327938"/>
    <w:rsid w:val="003313C2"/>
    <w:rsid w:val="003316D9"/>
    <w:rsid w:val="00331E25"/>
    <w:rsid w:val="00332662"/>
    <w:rsid w:val="00332E08"/>
    <w:rsid w:val="00333436"/>
    <w:rsid w:val="003340E7"/>
    <w:rsid w:val="0033595A"/>
    <w:rsid w:val="0033615B"/>
    <w:rsid w:val="00337752"/>
    <w:rsid w:val="00340C77"/>
    <w:rsid w:val="00341F2F"/>
    <w:rsid w:val="003452C1"/>
    <w:rsid w:val="00350C51"/>
    <w:rsid w:val="00351566"/>
    <w:rsid w:val="00353820"/>
    <w:rsid w:val="00355DB6"/>
    <w:rsid w:val="00355DC1"/>
    <w:rsid w:val="003573AE"/>
    <w:rsid w:val="00357570"/>
    <w:rsid w:val="00357C14"/>
    <w:rsid w:val="0036217E"/>
    <w:rsid w:val="003625E1"/>
    <w:rsid w:val="00364544"/>
    <w:rsid w:val="00364B38"/>
    <w:rsid w:val="00364BD8"/>
    <w:rsid w:val="0036729D"/>
    <w:rsid w:val="00370249"/>
    <w:rsid w:val="00371523"/>
    <w:rsid w:val="00371C4D"/>
    <w:rsid w:val="0037216F"/>
    <w:rsid w:val="003769DA"/>
    <w:rsid w:val="0038006B"/>
    <w:rsid w:val="00382FBC"/>
    <w:rsid w:val="00383A10"/>
    <w:rsid w:val="00384108"/>
    <w:rsid w:val="0038413B"/>
    <w:rsid w:val="00384EA5"/>
    <w:rsid w:val="003862A9"/>
    <w:rsid w:val="00387908"/>
    <w:rsid w:val="00390C5F"/>
    <w:rsid w:val="00390FC8"/>
    <w:rsid w:val="0039142A"/>
    <w:rsid w:val="003917CA"/>
    <w:rsid w:val="003929E1"/>
    <w:rsid w:val="003A0158"/>
    <w:rsid w:val="003A03D5"/>
    <w:rsid w:val="003A0864"/>
    <w:rsid w:val="003A1A8C"/>
    <w:rsid w:val="003A1E4F"/>
    <w:rsid w:val="003A2BB1"/>
    <w:rsid w:val="003A48D0"/>
    <w:rsid w:val="003A544E"/>
    <w:rsid w:val="003A6C40"/>
    <w:rsid w:val="003B0288"/>
    <w:rsid w:val="003B099D"/>
    <w:rsid w:val="003B1D4C"/>
    <w:rsid w:val="003B2ECF"/>
    <w:rsid w:val="003B30BA"/>
    <w:rsid w:val="003B39D4"/>
    <w:rsid w:val="003B5762"/>
    <w:rsid w:val="003C0998"/>
    <w:rsid w:val="003C09D0"/>
    <w:rsid w:val="003C1432"/>
    <w:rsid w:val="003C4FA5"/>
    <w:rsid w:val="003C5230"/>
    <w:rsid w:val="003C58CB"/>
    <w:rsid w:val="003C7317"/>
    <w:rsid w:val="003C74C8"/>
    <w:rsid w:val="003C78D2"/>
    <w:rsid w:val="003D5915"/>
    <w:rsid w:val="003D7732"/>
    <w:rsid w:val="003D7DD4"/>
    <w:rsid w:val="003E09C0"/>
    <w:rsid w:val="003E491E"/>
    <w:rsid w:val="003E6B2A"/>
    <w:rsid w:val="003E715C"/>
    <w:rsid w:val="003E7487"/>
    <w:rsid w:val="003F2990"/>
    <w:rsid w:val="003F430C"/>
    <w:rsid w:val="003F4DE7"/>
    <w:rsid w:val="003F63DE"/>
    <w:rsid w:val="003F6DF7"/>
    <w:rsid w:val="003F7E61"/>
    <w:rsid w:val="004009F0"/>
    <w:rsid w:val="00401186"/>
    <w:rsid w:val="00402746"/>
    <w:rsid w:val="0040341B"/>
    <w:rsid w:val="00403730"/>
    <w:rsid w:val="004038C8"/>
    <w:rsid w:val="00403A52"/>
    <w:rsid w:val="00403B4F"/>
    <w:rsid w:val="00404479"/>
    <w:rsid w:val="00405C9A"/>
    <w:rsid w:val="00407F4A"/>
    <w:rsid w:val="00411567"/>
    <w:rsid w:val="00413AB6"/>
    <w:rsid w:val="004160D7"/>
    <w:rsid w:val="004174E1"/>
    <w:rsid w:val="00417E81"/>
    <w:rsid w:val="004218E1"/>
    <w:rsid w:val="00423190"/>
    <w:rsid w:val="00423A6B"/>
    <w:rsid w:val="00424130"/>
    <w:rsid w:val="0042616D"/>
    <w:rsid w:val="00426273"/>
    <w:rsid w:val="0042765F"/>
    <w:rsid w:val="00427B0D"/>
    <w:rsid w:val="00431269"/>
    <w:rsid w:val="0043127E"/>
    <w:rsid w:val="00431DF1"/>
    <w:rsid w:val="0043370B"/>
    <w:rsid w:val="00433FB5"/>
    <w:rsid w:val="0043475C"/>
    <w:rsid w:val="00434C9A"/>
    <w:rsid w:val="00435EE4"/>
    <w:rsid w:val="00436960"/>
    <w:rsid w:val="00436A30"/>
    <w:rsid w:val="00442169"/>
    <w:rsid w:val="00444C86"/>
    <w:rsid w:val="004505DB"/>
    <w:rsid w:val="0045406E"/>
    <w:rsid w:val="00454679"/>
    <w:rsid w:val="00454B43"/>
    <w:rsid w:val="004559ED"/>
    <w:rsid w:val="00457AD1"/>
    <w:rsid w:val="00460593"/>
    <w:rsid w:val="00462E56"/>
    <w:rsid w:val="00463797"/>
    <w:rsid w:val="00464EE2"/>
    <w:rsid w:val="00464FB6"/>
    <w:rsid w:val="00467FC0"/>
    <w:rsid w:val="004718C4"/>
    <w:rsid w:val="004723CC"/>
    <w:rsid w:val="00472A59"/>
    <w:rsid w:val="00472ABE"/>
    <w:rsid w:val="00473716"/>
    <w:rsid w:val="00474622"/>
    <w:rsid w:val="00474794"/>
    <w:rsid w:val="00475C3B"/>
    <w:rsid w:val="00480263"/>
    <w:rsid w:val="00480C46"/>
    <w:rsid w:val="00481D85"/>
    <w:rsid w:val="004823C4"/>
    <w:rsid w:val="00482F11"/>
    <w:rsid w:val="00483E13"/>
    <w:rsid w:val="004869CD"/>
    <w:rsid w:val="00490063"/>
    <w:rsid w:val="00490A2C"/>
    <w:rsid w:val="0049109F"/>
    <w:rsid w:val="00491672"/>
    <w:rsid w:val="00493E72"/>
    <w:rsid w:val="004941EE"/>
    <w:rsid w:val="004947DF"/>
    <w:rsid w:val="0049493F"/>
    <w:rsid w:val="00494CC0"/>
    <w:rsid w:val="00495B15"/>
    <w:rsid w:val="004A1CC9"/>
    <w:rsid w:val="004A209F"/>
    <w:rsid w:val="004A488A"/>
    <w:rsid w:val="004A4EF9"/>
    <w:rsid w:val="004A539F"/>
    <w:rsid w:val="004A73BA"/>
    <w:rsid w:val="004A7513"/>
    <w:rsid w:val="004B13B0"/>
    <w:rsid w:val="004B2686"/>
    <w:rsid w:val="004B491D"/>
    <w:rsid w:val="004B74C5"/>
    <w:rsid w:val="004C0418"/>
    <w:rsid w:val="004C1891"/>
    <w:rsid w:val="004C349F"/>
    <w:rsid w:val="004C3EE8"/>
    <w:rsid w:val="004C5380"/>
    <w:rsid w:val="004C709D"/>
    <w:rsid w:val="004C7839"/>
    <w:rsid w:val="004D1D55"/>
    <w:rsid w:val="004D2028"/>
    <w:rsid w:val="004D2E6F"/>
    <w:rsid w:val="004D677B"/>
    <w:rsid w:val="004D6A8D"/>
    <w:rsid w:val="004D7082"/>
    <w:rsid w:val="004E1613"/>
    <w:rsid w:val="004E1DD3"/>
    <w:rsid w:val="004E22CC"/>
    <w:rsid w:val="004E391C"/>
    <w:rsid w:val="004E7A2C"/>
    <w:rsid w:val="004F0477"/>
    <w:rsid w:val="004F33CD"/>
    <w:rsid w:val="004F439D"/>
    <w:rsid w:val="004F6950"/>
    <w:rsid w:val="004F69DA"/>
    <w:rsid w:val="004F7C45"/>
    <w:rsid w:val="0050200C"/>
    <w:rsid w:val="00503D8E"/>
    <w:rsid w:val="00506B51"/>
    <w:rsid w:val="00507305"/>
    <w:rsid w:val="00507336"/>
    <w:rsid w:val="00510075"/>
    <w:rsid w:val="005129BC"/>
    <w:rsid w:val="00513B23"/>
    <w:rsid w:val="00513B4B"/>
    <w:rsid w:val="0051405D"/>
    <w:rsid w:val="00515402"/>
    <w:rsid w:val="00516245"/>
    <w:rsid w:val="005164D1"/>
    <w:rsid w:val="0052044C"/>
    <w:rsid w:val="00521D7E"/>
    <w:rsid w:val="00522682"/>
    <w:rsid w:val="00522DC9"/>
    <w:rsid w:val="005256B3"/>
    <w:rsid w:val="0052589D"/>
    <w:rsid w:val="00525A4D"/>
    <w:rsid w:val="00525F20"/>
    <w:rsid w:val="00525FB1"/>
    <w:rsid w:val="005261DB"/>
    <w:rsid w:val="005266DB"/>
    <w:rsid w:val="0052783B"/>
    <w:rsid w:val="005320FE"/>
    <w:rsid w:val="0053697B"/>
    <w:rsid w:val="00536B47"/>
    <w:rsid w:val="00536EF7"/>
    <w:rsid w:val="00542147"/>
    <w:rsid w:val="0054339E"/>
    <w:rsid w:val="00543AAD"/>
    <w:rsid w:val="00543F5B"/>
    <w:rsid w:val="00544E85"/>
    <w:rsid w:val="00546784"/>
    <w:rsid w:val="0054717D"/>
    <w:rsid w:val="00553528"/>
    <w:rsid w:val="00555354"/>
    <w:rsid w:val="0055568D"/>
    <w:rsid w:val="00555789"/>
    <w:rsid w:val="00557413"/>
    <w:rsid w:val="00557932"/>
    <w:rsid w:val="005600B7"/>
    <w:rsid w:val="00560749"/>
    <w:rsid w:val="0056096D"/>
    <w:rsid w:val="00561539"/>
    <w:rsid w:val="00563544"/>
    <w:rsid w:val="00564B40"/>
    <w:rsid w:val="0056542C"/>
    <w:rsid w:val="0056628B"/>
    <w:rsid w:val="005709BB"/>
    <w:rsid w:val="005716B9"/>
    <w:rsid w:val="005738DF"/>
    <w:rsid w:val="00573A1A"/>
    <w:rsid w:val="00574765"/>
    <w:rsid w:val="005812CD"/>
    <w:rsid w:val="0058212A"/>
    <w:rsid w:val="00582B35"/>
    <w:rsid w:val="00582C80"/>
    <w:rsid w:val="005831CF"/>
    <w:rsid w:val="00592063"/>
    <w:rsid w:val="00593975"/>
    <w:rsid w:val="00594F3B"/>
    <w:rsid w:val="005957A2"/>
    <w:rsid w:val="00595F23"/>
    <w:rsid w:val="00596ABF"/>
    <w:rsid w:val="005A1A06"/>
    <w:rsid w:val="005A1AD6"/>
    <w:rsid w:val="005A4451"/>
    <w:rsid w:val="005A53AD"/>
    <w:rsid w:val="005A63E6"/>
    <w:rsid w:val="005A782E"/>
    <w:rsid w:val="005B0F5F"/>
    <w:rsid w:val="005B15ED"/>
    <w:rsid w:val="005B2AF6"/>
    <w:rsid w:val="005B4B82"/>
    <w:rsid w:val="005C12A6"/>
    <w:rsid w:val="005C1C15"/>
    <w:rsid w:val="005C1CE0"/>
    <w:rsid w:val="005C2E6F"/>
    <w:rsid w:val="005C3321"/>
    <w:rsid w:val="005C3D84"/>
    <w:rsid w:val="005C55DD"/>
    <w:rsid w:val="005C6B35"/>
    <w:rsid w:val="005C7052"/>
    <w:rsid w:val="005D02F8"/>
    <w:rsid w:val="005D08C4"/>
    <w:rsid w:val="005D16E5"/>
    <w:rsid w:val="005D2824"/>
    <w:rsid w:val="005D3C42"/>
    <w:rsid w:val="005D47D5"/>
    <w:rsid w:val="005E19D8"/>
    <w:rsid w:val="005E20B4"/>
    <w:rsid w:val="005E25DF"/>
    <w:rsid w:val="005E542F"/>
    <w:rsid w:val="005E6448"/>
    <w:rsid w:val="005E65E7"/>
    <w:rsid w:val="005E79AD"/>
    <w:rsid w:val="005F01FB"/>
    <w:rsid w:val="005F1FAE"/>
    <w:rsid w:val="005F2223"/>
    <w:rsid w:val="005F2281"/>
    <w:rsid w:val="005F4A56"/>
    <w:rsid w:val="005F57BD"/>
    <w:rsid w:val="005F7D85"/>
    <w:rsid w:val="006001FC"/>
    <w:rsid w:val="00601071"/>
    <w:rsid w:val="00601E82"/>
    <w:rsid w:val="00601FC5"/>
    <w:rsid w:val="00602000"/>
    <w:rsid w:val="00603D14"/>
    <w:rsid w:val="0060425E"/>
    <w:rsid w:val="00605F09"/>
    <w:rsid w:val="006064FA"/>
    <w:rsid w:val="00607FAC"/>
    <w:rsid w:val="00610CF5"/>
    <w:rsid w:val="006123BE"/>
    <w:rsid w:val="006139AC"/>
    <w:rsid w:val="00614CF1"/>
    <w:rsid w:val="00616F08"/>
    <w:rsid w:val="00617691"/>
    <w:rsid w:val="0061771E"/>
    <w:rsid w:val="006200A0"/>
    <w:rsid w:val="00620616"/>
    <w:rsid w:val="0062092D"/>
    <w:rsid w:val="00621757"/>
    <w:rsid w:val="006221D0"/>
    <w:rsid w:val="0062223D"/>
    <w:rsid w:val="00622F4A"/>
    <w:rsid w:val="0062401A"/>
    <w:rsid w:val="0062491B"/>
    <w:rsid w:val="00625B33"/>
    <w:rsid w:val="00626267"/>
    <w:rsid w:val="00626460"/>
    <w:rsid w:val="00626CBF"/>
    <w:rsid w:val="0062707C"/>
    <w:rsid w:val="0062777B"/>
    <w:rsid w:val="0062792A"/>
    <w:rsid w:val="00633A4F"/>
    <w:rsid w:val="0063483C"/>
    <w:rsid w:val="00634BAC"/>
    <w:rsid w:val="00635436"/>
    <w:rsid w:val="006372FA"/>
    <w:rsid w:val="006376A0"/>
    <w:rsid w:val="006407DA"/>
    <w:rsid w:val="00641397"/>
    <w:rsid w:val="00641B96"/>
    <w:rsid w:val="006436C7"/>
    <w:rsid w:val="00645900"/>
    <w:rsid w:val="006466CF"/>
    <w:rsid w:val="00646E66"/>
    <w:rsid w:val="0064733B"/>
    <w:rsid w:val="0064761F"/>
    <w:rsid w:val="0065039B"/>
    <w:rsid w:val="00650C7A"/>
    <w:rsid w:val="00650DDD"/>
    <w:rsid w:val="00650E9B"/>
    <w:rsid w:val="00651C80"/>
    <w:rsid w:val="00653044"/>
    <w:rsid w:val="00654F9A"/>
    <w:rsid w:val="00655642"/>
    <w:rsid w:val="006559AA"/>
    <w:rsid w:val="00655B58"/>
    <w:rsid w:val="00655DC1"/>
    <w:rsid w:val="00656165"/>
    <w:rsid w:val="00657B77"/>
    <w:rsid w:val="00660555"/>
    <w:rsid w:val="0066391A"/>
    <w:rsid w:val="0066500E"/>
    <w:rsid w:val="006650CC"/>
    <w:rsid w:val="00665DBC"/>
    <w:rsid w:val="006678AF"/>
    <w:rsid w:val="00670585"/>
    <w:rsid w:val="00670CC5"/>
    <w:rsid w:val="00670E93"/>
    <w:rsid w:val="00671F4C"/>
    <w:rsid w:val="00672F4A"/>
    <w:rsid w:val="00676AFE"/>
    <w:rsid w:val="006774FB"/>
    <w:rsid w:val="0068532E"/>
    <w:rsid w:val="00685744"/>
    <w:rsid w:val="006861DF"/>
    <w:rsid w:val="00686C0F"/>
    <w:rsid w:val="006878D4"/>
    <w:rsid w:val="00693B3E"/>
    <w:rsid w:val="00693DF3"/>
    <w:rsid w:val="006962F7"/>
    <w:rsid w:val="00696A88"/>
    <w:rsid w:val="0069737D"/>
    <w:rsid w:val="00697AF3"/>
    <w:rsid w:val="006A1925"/>
    <w:rsid w:val="006A1CB7"/>
    <w:rsid w:val="006A36CF"/>
    <w:rsid w:val="006A4032"/>
    <w:rsid w:val="006A4675"/>
    <w:rsid w:val="006A6D38"/>
    <w:rsid w:val="006B024D"/>
    <w:rsid w:val="006B028B"/>
    <w:rsid w:val="006B1787"/>
    <w:rsid w:val="006B205A"/>
    <w:rsid w:val="006B25DC"/>
    <w:rsid w:val="006B3133"/>
    <w:rsid w:val="006B38DD"/>
    <w:rsid w:val="006B57F9"/>
    <w:rsid w:val="006B5DFC"/>
    <w:rsid w:val="006B6184"/>
    <w:rsid w:val="006C1205"/>
    <w:rsid w:val="006C15F7"/>
    <w:rsid w:val="006C3449"/>
    <w:rsid w:val="006C35B8"/>
    <w:rsid w:val="006C45D6"/>
    <w:rsid w:val="006C515B"/>
    <w:rsid w:val="006C5E6F"/>
    <w:rsid w:val="006D1589"/>
    <w:rsid w:val="006D4B23"/>
    <w:rsid w:val="006D7174"/>
    <w:rsid w:val="006D72B7"/>
    <w:rsid w:val="006D7992"/>
    <w:rsid w:val="006E001B"/>
    <w:rsid w:val="006E0323"/>
    <w:rsid w:val="006E073E"/>
    <w:rsid w:val="006E1EE8"/>
    <w:rsid w:val="006E2B24"/>
    <w:rsid w:val="006E36DB"/>
    <w:rsid w:val="006E4459"/>
    <w:rsid w:val="006E4D5B"/>
    <w:rsid w:val="006E5513"/>
    <w:rsid w:val="006E6B88"/>
    <w:rsid w:val="006E7CB5"/>
    <w:rsid w:val="006F1E86"/>
    <w:rsid w:val="006F4E9B"/>
    <w:rsid w:val="006F5412"/>
    <w:rsid w:val="006F7CE0"/>
    <w:rsid w:val="00700E50"/>
    <w:rsid w:val="007011C4"/>
    <w:rsid w:val="007024CC"/>
    <w:rsid w:val="0070299E"/>
    <w:rsid w:val="00703085"/>
    <w:rsid w:val="007050FB"/>
    <w:rsid w:val="00711102"/>
    <w:rsid w:val="00711307"/>
    <w:rsid w:val="00714C43"/>
    <w:rsid w:val="00716157"/>
    <w:rsid w:val="00716A8E"/>
    <w:rsid w:val="007174C9"/>
    <w:rsid w:val="00717EE2"/>
    <w:rsid w:val="00717FB8"/>
    <w:rsid w:val="00723D0C"/>
    <w:rsid w:val="0072425A"/>
    <w:rsid w:val="00724A58"/>
    <w:rsid w:val="00731FB8"/>
    <w:rsid w:val="00735E87"/>
    <w:rsid w:val="00736D44"/>
    <w:rsid w:val="00740E39"/>
    <w:rsid w:val="007428EA"/>
    <w:rsid w:val="00742DA0"/>
    <w:rsid w:val="0074496B"/>
    <w:rsid w:val="007452D6"/>
    <w:rsid w:val="00756D50"/>
    <w:rsid w:val="00761FDA"/>
    <w:rsid w:val="00764F90"/>
    <w:rsid w:val="00766293"/>
    <w:rsid w:val="00766C1C"/>
    <w:rsid w:val="00766DB3"/>
    <w:rsid w:val="00770794"/>
    <w:rsid w:val="00772032"/>
    <w:rsid w:val="0077265E"/>
    <w:rsid w:val="00772B92"/>
    <w:rsid w:val="00772C8B"/>
    <w:rsid w:val="0077325A"/>
    <w:rsid w:val="0077378A"/>
    <w:rsid w:val="00774F2B"/>
    <w:rsid w:val="00776D77"/>
    <w:rsid w:val="00780683"/>
    <w:rsid w:val="007807E4"/>
    <w:rsid w:val="00780F3F"/>
    <w:rsid w:val="00781E9C"/>
    <w:rsid w:val="00783FE3"/>
    <w:rsid w:val="0078414A"/>
    <w:rsid w:val="007848EE"/>
    <w:rsid w:val="0078646F"/>
    <w:rsid w:val="00786FD6"/>
    <w:rsid w:val="00790D94"/>
    <w:rsid w:val="00791D51"/>
    <w:rsid w:val="007920C1"/>
    <w:rsid w:val="007925C2"/>
    <w:rsid w:val="00792778"/>
    <w:rsid w:val="00793A96"/>
    <w:rsid w:val="007962A2"/>
    <w:rsid w:val="00797165"/>
    <w:rsid w:val="00797AAE"/>
    <w:rsid w:val="007A0C87"/>
    <w:rsid w:val="007A1D92"/>
    <w:rsid w:val="007A2734"/>
    <w:rsid w:val="007A2D61"/>
    <w:rsid w:val="007A3249"/>
    <w:rsid w:val="007A373E"/>
    <w:rsid w:val="007A3B09"/>
    <w:rsid w:val="007A3BFA"/>
    <w:rsid w:val="007A45DF"/>
    <w:rsid w:val="007A7781"/>
    <w:rsid w:val="007A791B"/>
    <w:rsid w:val="007B21C2"/>
    <w:rsid w:val="007B3065"/>
    <w:rsid w:val="007B3FE1"/>
    <w:rsid w:val="007B49A2"/>
    <w:rsid w:val="007C1EDC"/>
    <w:rsid w:val="007C2E54"/>
    <w:rsid w:val="007C336E"/>
    <w:rsid w:val="007C356E"/>
    <w:rsid w:val="007C52C2"/>
    <w:rsid w:val="007C6480"/>
    <w:rsid w:val="007C64AE"/>
    <w:rsid w:val="007C77F0"/>
    <w:rsid w:val="007D164E"/>
    <w:rsid w:val="007D20AC"/>
    <w:rsid w:val="007D21D0"/>
    <w:rsid w:val="007D2D74"/>
    <w:rsid w:val="007D565C"/>
    <w:rsid w:val="007D6A4C"/>
    <w:rsid w:val="007D7DA2"/>
    <w:rsid w:val="007E0F56"/>
    <w:rsid w:val="007E107F"/>
    <w:rsid w:val="007E1D16"/>
    <w:rsid w:val="007E3B50"/>
    <w:rsid w:val="007E3C81"/>
    <w:rsid w:val="007E7194"/>
    <w:rsid w:val="007F3350"/>
    <w:rsid w:val="007F5F35"/>
    <w:rsid w:val="007F6519"/>
    <w:rsid w:val="007F6F16"/>
    <w:rsid w:val="00801C6E"/>
    <w:rsid w:val="00802453"/>
    <w:rsid w:val="00802B10"/>
    <w:rsid w:val="00803BA5"/>
    <w:rsid w:val="0080442B"/>
    <w:rsid w:val="0080477B"/>
    <w:rsid w:val="00805C02"/>
    <w:rsid w:val="00806534"/>
    <w:rsid w:val="00807D0E"/>
    <w:rsid w:val="00810064"/>
    <w:rsid w:val="008100F7"/>
    <w:rsid w:val="0081089D"/>
    <w:rsid w:val="00811217"/>
    <w:rsid w:val="00814567"/>
    <w:rsid w:val="008145F1"/>
    <w:rsid w:val="00815986"/>
    <w:rsid w:val="008160A8"/>
    <w:rsid w:val="00816316"/>
    <w:rsid w:val="0081636D"/>
    <w:rsid w:val="00816C07"/>
    <w:rsid w:val="008207EB"/>
    <w:rsid w:val="0082389D"/>
    <w:rsid w:val="008267FA"/>
    <w:rsid w:val="00830A77"/>
    <w:rsid w:val="008333D1"/>
    <w:rsid w:val="008336F5"/>
    <w:rsid w:val="00833914"/>
    <w:rsid w:val="008401B2"/>
    <w:rsid w:val="00841080"/>
    <w:rsid w:val="00841D6B"/>
    <w:rsid w:val="0084371F"/>
    <w:rsid w:val="00844BCC"/>
    <w:rsid w:val="00847265"/>
    <w:rsid w:val="008527D2"/>
    <w:rsid w:val="00853484"/>
    <w:rsid w:val="008535F6"/>
    <w:rsid w:val="008542FF"/>
    <w:rsid w:val="00856920"/>
    <w:rsid w:val="00856CB8"/>
    <w:rsid w:val="00857593"/>
    <w:rsid w:val="008634C0"/>
    <w:rsid w:val="00864A8F"/>
    <w:rsid w:val="00864D82"/>
    <w:rsid w:val="00867876"/>
    <w:rsid w:val="00874D68"/>
    <w:rsid w:val="0087723F"/>
    <w:rsid w:val="00877473"/>
    <w:rsid w:val="00877644"/>
    <w:rsid w:val="00877EF7"/>
    <w:rsid w:val="00881A17"/>
    <w:rsid w:val="00882003"/>
    <w:rsid w:val="00884A83"/>
    <w:rsid w:val="00884DED"/>
    <w:rsid w:val="00885298"/>
    <w:rsid w:val="00886CC8"/>
    <w:rsid w:val="00890C1B"/>
    <w:rsid w:val="00891A16"/>
    <w:rsid w:val="008928AB"/>
    <w:rsid w:val="008931E2"/>
    <w:rsid w:val="00894EB4"/>
    <w:rsid w:val="00895443"/>
    <w:rsid w:val="008959C2"/>
    <w:rsid w:val="00896E45"/>
    <w:rsid w:val="008A0D0E"/>
    <w:rsid w:val="008A1721"/>
    <w:rsid w:val="008A1DF1"/>
    <w:rsid w:val="008A2210"/>
    <w:rsid w:val="008A3A5C"/>
    <w:rsid w:val="008A667C"/>
    <w:rsid w:val="008B0C12"/>
    <w:rsid w:val="008B0D99"/>
    <w:rsid w:val="008B3859"/>
    <w:rsid w:val="008B5176"/>
    <w:rsid w:val="008B56DB"/>
    <w:rsid w:val="008B7775"/>
    <w:rsid w:val="008B7E39"/>
    <w:rsid w:val="008C2ED8"/>
    <w:rsid w:val="008C32BF"/>
    <w:rsid w:val="008C4769"/>
    <w:rsid w:val="008C4B92"/>
    <w:rsid w:val="008C4F1B"/>
    <w:rsid w:val="008C5313"/>
    <w:rsid w:val="008C5EBF"/>
    <w:rsid w:val="008C6B31"/>
    <w:rsid w:val="008D0F14"/>
    <w:rsid w:val="008D110C"/>
    <w:rsid w:val="008D1421"/>
    <w:rsid w:val="008D148E"/>
    <w:rsid w:val="008D1633"/>
    <w:rsid w:val="008D1C8D"/>
    <w:rsid w:val="008D2872"/>
    <w:rsid w:val="008D2A4B"/>
    <w:rsid w:val="008D3647"/>
    <w:rsid w:val="008D3A1F"/>
    <w:rsid w:val="008D4C64"/>
    <w:rsid w:val="008D7DF6"/>
    <w:rsid w:val="008E02BB"/>
    <w:rsid w:val="008E0D8C"/>
    <w:rsid w:val="008E2423"/>
    <w:rsid w:val="008E27BB"/>
    <w:rsid w:val="008E2EB4"/>
    <w:rsid w:val="008E3192"/>
    <w:rsid w:val="008E347B"/>
    <w:rsid w:val="008E4230"/>
    <w:rsid w:val="008E5E50"/>
    <w:rsid w:val="008E62D3"/>
    <w:rsid w:val="008E643E"/>
    <w:rsid w:val="008E6551"/>
    <w:rsid w:val="008F0AA0"/>
    <w:rsid w:val="008F10B0"/>
    <w:rsid w:val="008F4F32"/>
    <w:rsid w:val="009000CE"/>
    <w:rsid w:val="0090488D"/>
    <w:rsid w:val="009058EB"/>
    <w:rsid w:val="00910498"/>
    <w:rsid w:val="009111B4"/>
    <w:rsid w:val="0091381B"/>
    <w:rsid w:val="00914092"/>
    <w:rsid w:val="00914294"/>
    <w:rsid w:val="00914664"/>
    <w:rsid w:val="0091563D"/>
    <w:rsid w:val="00915DC1"/>
    <w:rsid w:val="00916196"/>
    <w:rsid w:val="00917D80"/>
    <w:rsid w:val="00920578"/>
    <w:rsid w:val="00922222"/>
    <w:rsid w:val="00923314"/>
    <w:rsid w:val="009245C2"/>
    <w:rsid w:val="009246C0"/>
    <w:rsid w:val="00925271"/>
    <w:rsid w:val="00925D60"/>
    <w:rsid w:val="009275EB"/>
    <w:rsid w:val="00927780"/>
    <w:rsid w:val="00930120"/>
    <w:rsid w:val="00930F4D"/>
    <w:rsid w:val="00933D3B"/>
    <w:rsid w:val="009357A3"/>
    <w:rsid w:val="00936083"/>
    <w:rsid w:val="0094020A"/>
    <w:rsid w:val="009403E8"/>
    <w:rsid w:val="009408BA"/>
    <w:rsid w:val="00941263"/>
    <w:rsid w:val="00941A73"/>
    <w:rsid w:val="00941CB5"/>
    <w:rsid w:val="00944175"/>
    <w:rsid w:val="00944D29"/>
    <w:rsid w:val="00944E75"/>
    <w:rsid w:val="00953615"/>
    <w:rsid w:val="00954061"/>
    <w:rsid w:val="0095568C"/>
    <w:rsid w:val="00955F3D"/>
    <w:rsid w:val="00956CF4"/>
    <w:rsid w:val="0095734D"/>
    <w:rsid w:val="00960C71"/>
    <w:rsid w:val="00964936"/>
    <w:rsid w:val="00964AAD"/>
    <w:rsid w:val="00965696"/>
    <w:rsid w:val="00966086"/>
    <w:rsid w:val="00966EDF"/>
    <w:rsid w:val="009676C4"/>
    <w:rsid w:val="0097168F"/>
    <w:rsid w:val="00972136"/>
    <w:rsid w:val="009731FF"/>
    <w:rsid w:val="0097342C"/>
    <w:rsid w:val="00974220"/>
    <w:rsid w:val="00974B58"/>
    <w:rsid w:val="00976789"/>
    <w:rsid w:val="009769A1"/>
    <w:rsid w:val="0097794A"/>
    <w:rsid w:val="00980013"/>
    <w:rsid w:val="0098012A"/>
    <w:rsid w:val="00982488"/>
    <w:rsid w:val="0098306E"/>
    <w:rsid w:val="0098735C"/>
    <w:rsid w:val="009914DC"/>
    <w:rsid w:val="00991F39"/>
    <w:rsid w:val="0099257F"/>
    <w:rsid w:val="00992CE9"/>
    <w:rsid w:val="009938D4"/>
    <w:rsid w:val="00993A0F"/>
    <w:rsid w:val="00994E55"/>
    <w:rsid w:val="00997620"/>
    <w:rsid w:val="00997CED"/>
    <w:rsid w:val="009A005C"/>
    <w:rsid w:val="009A0CB7"/>
    <w:rsid w:val="009A1465"/>
    <w:rsid w:val="009A2FED"/>
    <w:rsid w:val="009A566A"/>
    <w:rsid w:val="009B015E"/>
    <w:rsid w:val="009B25CC"/>
    <w:rsid w:val="009B2741"/>
    <w:rsid w:val="009B334F"/>
    <w:rsid w:val="009B4C44"/>
    <w:rsid w:val="009B5282"/>
    <w:rsid w:val="009B543B"/>
    <w:rsid w:val="009B5FD3"/>
    <w:rsid w:val="009B6499"/>
    <w:rsid w:val="009C4473"/>
    <w:rsid w:val="009C4642"/>
    <w:rsid w:val="009C49AC"/>
    <w:rsid w:val="009C6B31"/>
    <w:rsid w:val="009C6F15"/>
    <w:rsid w:val="009C72A4"/>
    <w:rsid w:val="009D3534"/>
    <w:rsid w:val="009D3C6B"/>
    <w:rsid w:val="009D4BB5"/>
    <w:rsid w:val="009E06F0"/>
    <w:rsid w:val="009E0A50"/>
    <w:rsid w:val="009E1EAE"/>
    <w:rsid w:val="009E318D"/>
    <w:rsid w:val="009E34FE"/>
    <w:rsid w:val="009E43A3"/>
    <w:rsid w:val="009E4D3B"/>
    <w:rsid w:val="009E65DF"/>
    <w:rsid w:val="009E6C5C"/>
    <w:rsid w:val="009F0815"/>
    <w:rsid w:val="009F2282"/>
    <w:rsid w:val="009F382E"/>
    <w:rsid w:val="009F4061"/>
    <w:rsid w:val="009F487D"/>
    <w:rsid w:val="009F54DC"/>
    <w:rsid w:val="009F62F3"/>
    <w:rsid w:val="009F7254"/>
    <w:rsid w:val="00A00204"/>
    <w:rsid w:val="00A0314E"/>
    <w:rsid w:val="00A04084"/>
    <w:rsid w:val="00A042C5"/>
    <w:rsid w:val="00A042EA"/>
    <w:rsid w:val="00A04EF8"/>
    <w:rsid w:val="00A0561C"/>
    <w:rsid w:val="00A05B10"/>
    <w:rsid w:val="00A07534"/>
    <w:rsid w:val="00A07BA0"/>
    <w:rsid w:val="00A20F64"/>
    <w:rsid w:val="00A222FC"/>
    <w:rsid w:val="00A223F1"/>
    <w:rsid w:val="00A238F8"/>
    <w:rsid w:val="00A23C8E"/>
    <w:rsid w:val="00A242BF"/>
    <w:rsid w:val="00A31428"/>
    <w:rsid w:val="00A32DC4"/>
    <w:rsid w:val="00A34A4F"/>
    <w:rsid w:val="00A34E99"/>
    <w:rsid w:val="00A34F84"/>
    <w:rsid w:val="00A405D7"/>
    <w:rsid w:val="00A440F8"/>
    <w:rsid w:val="00A45F3D"/>
    <w:rsid w:val="00A47B26"/>
    <w:rsid w:val="00A5036F"/>
    <w:rsid w:val="00A50F93"/>
    <w:rsid w:val="00A512E6"/>
    <w:rsid w:val="00A5785F"/>
    <w:rsid w:val="00A61D8B"/>
    <w:rsid w:val="00A65DB7"/>
    <w:rsid w:val="00A6637B"/>
    <w:rsid w:val="00A730B8"/>
    <w:rsid w:val="00A7487F"/>
    <w:rsid w:val="00A765A1"/>
    <w:rsid w:val="00A76941"/>
    <w:rsid w:val="00A76DEB"/>
    <w:rsid w:val="00A81097"/>
    <w:rsid w:val="00A81267"/>
    <w:rsid w:val="00A836BE"/>
    <w:rsid w:val="00A84417"/>
    <w:rsid w:val="00A84E45"/>
    <w:rsid w:val="00A85720"/>
    <w:rsid w:val="00A8615A"/>
    <w:rsid w:val="00A86701"/>
    <w:rsid w:val="00A87E97"/>
    <w:rsid w:val="00A900D2"/>
    <w:rsid w:val="00A93FEB"/>
    <w:rsid w:val="00AA0FD0"/>
    <w:rsid w:val="00AA199D"/>
    <w:rsid w:val="00AA2248"/>
    <w:rsid w:val="00AB0578"/>
    <w:rsid w:val="00AB0881"/>
    <w:rsid w:val="00AB54F6"/>
    <w:rsid w:val="00AB6D86"/>
    <w:rsid w:val="00AC03A9"/>
    <w:rsid w:val="00AC0510"/>
    <w:rsid w:val="00AC0DCC"/>
    <w:rsid w:val="00AC1A92"/>
    <w:rsid w:val="00AC481F"/>
    <w:rsid w:val="00AC6E19"/>
    <w:rsid w:val="00AC6FF2"/>
    <w:rsid w:val="00AD34AE"/>
    <w:rsid w:val="00AD5098"/>
    <w:rsid w:val="00AD67A1"/>
    <w:rsid w:val="00AD77C7"/>
    <w:rsid w:val="00AE18B6"/>
    <w:rsid w:val="00AE1C4C"/>
    <w:rsid w:val="00AE2B81"/>
    <w:rsid w:val="00AE2DE4"/>
    <w:rsid w:val="00AE3D23"/>
    <w:rsid w:val="00AE4257"/>
    <w:rsid w:val="00AE465B"/>
    <w:rsid w:val="00AE66B1"/>
    <w:rsid w:val="00AE6CC4"/>
    <w:rsid w:val="00AE7CBC"/>
    <w:rsid w:val="00AF1030"/>
    <w:rsid w:val="00AF27D7"/>
    <w:rsid w:val="00AF3740"/>
    <w:rsid w:val="00AF4B24"/>
    <w:rsid w:val="00AF55E3"/>
    <w:rsid w:val="00AF5A27"/>
    <w:rsid w:val="00AF6348"/>
    <w:rsid w:val="00AF6755"/>
    <w:rsid w:val="00AF68CA"/>
    <w:rsid w:val="00AF7425"/>
    <w:rsid w:val="00AF7AAB"/>
    <w:rsid w:val="00AF7C19"/>
    <w:rsid w:val="00B015B5"/>
    <w:rsid w:val="00B01D9B"/>
    <w:rsid w:val="00B03900"/>
    <w:rsid w:val="00B03B5F"/>
    <w:rsid w:val="00B07671"/>
    <w:rsid w:val="00B12AF5"/>
    <w:rsid w:val="00B130F4"/>
    <w:rsid w:val="00B136D7"/>
    <w:rsid w:val="00B20094"/>
    <w:rsid w:val="00B22408"/>
    <w:rsid w:val="00B248CC"/>
    <w:rsid w:val="00B26113"/>
    <w:rsid w:val="00B26B04"/>
    <w:rsid w:val="00B30B5E"/>
    <w:rsid w:val="00B33E89"/>
    <w:rsid w:val="00B340D2"/>
    <w:rsid w:val="00B347FE"/>
    <w:rsid w:val="00B3541D"/>
    <w:rsid w:val="00B35BE6"/>
    <w:rsid w:val="00B37722"/>
    <w:rsid w:val="00B37AA5"/>
    <w:rsid w:val="00B4025C"/>
    <w:rsid w:val="00B404BF"/>
    <w:rsid w:val="00B41007"/>
    <w:rsid w:val="00B415B0"/>
    <w:rsid w:val="00B42B75"/>
    <w:rsid w:val="00B43951"/>
    <w:rsid w:val="00B46933"/>
    <w:rsid w:val="00B55D33"/>
    <w:rsid w:val="00B56D56"/>
    <w:rsid w:val="00B6064D"/>
    <w:rsid w:val="00B60BC0"/>
    <w:rsid w:val="00B663C4"/>
    <w:rsid w:val="00B668E7"/>
    <w:rsid w:val="00B66CC5"/>
    <w:rsid w:val="00B67DFC"/>
    <w:rsid w:val="00B81A08"/>
    <w:rsid w:val="00B826C4"/>
    <w:rsid w:val="00B835E1"/>
    <w:rsid w:val="00B84EDF"/>
    <w:rsid w:val="00B85349"/>
    <w:rsid w:val="00B85754"/>
    <w:rsid w:val="00B8725D"/>
    <w:rsid w:val="00B91FCC"/>
    <w:rsid w:val="00B926C5"/>
    <w:rsid w:val="00B94AE2"/>
    <w:rsid w:val="00B95EF6"/>
    <w:rsid w:val="00BA6F66"/>
    <w:rsid w:val="00BB0211"/>
    <w:rsid w:val="00BB3251"/>
    <w:rsid w:val="00BB464F"/>
    <w:rsid w:val="00BB49F1"/>
    <w:rsid w:val="00BB5F0F"/>
    <w:rsid w:val="00BB77AE"/>
    <w:rsid w:val="00BB77E0"/>
    <w:rsid w:val="00BC111E"/>
    <w:rsid w:val="00BC18D6"/>
    <w:rsid w:val="00BC359E"/>
    <w:rsid w:val="00BC789C"/>
    <w:rsid w:val="00BD1594"/>
    <w:rsid w:val="00BD2AF3"/>
    <w:rsid w:val="00BD4DA5"/>
    <w:rsid w:val="00BD5149"/>
    <w:rsid w:val="00BD5388"/>
    <w:rsid w:val="00BD6E02"/>
    <w:rsid w:val="00BE0103"/>
    <w:rsid w:val="00BE0DF5"/>
    <w:rsid w:val="00BE1FCE"/>
    <w:rsid w:val="00BE7A80"/>
    <w:rsid w:val="00BE7DE1"/>
    <w:rsid w:val="00BF11EC"/>
    <w:rsid w:val="00BF1CCB"/>
    <w:rsid w:val="00BF1E03"/>
    <w:rsid w:val="00BF2260"/>
    <w:rsid w:val="00BF4484"/>
    <w:rsid w:val="00BF48BE"/>
    <w:rsid w:val="00BF5480"/>
    <w:rsid w:val="00BF5D65"/>
    <w:rsid w:val="00C02FEE"/>
    <w:rsid w:val="00C054E7"/>
    <w:rsid w:val="00C076C3"/>
    <w:rsid w:val="00C102DE"/>
    <w:rsid w:val="00C12D89"/>
    <w:rsid w:val="00C142D0"/>
    <w:rsid w:val="00C14DCB"/>
    <w:rsid w:val="00C150D5"/>
    <w:rsid w:val="00C15630"/>
    <w:rsid w:val="00C17761"/>
    <w:rsid w:val="00C224CE"/>
    <w:rsid w:val="00C22685"/>
    <w:rsid w:val="00C22CD7"/>
    <w:rsid w:val="00C236EF"/>
    <w:rsid w:val="00C238B3"/>
    <w:rsid w:val="00C23B4C"/>
    <w:rsid w:val="00C23F1E"/>
    <w:rsid w:val="00C25D2A"/>
    <w:rsid w:val="00C26A1F"/>
    <w:rsid w:val="00C30160"/>
    <w:rsid w:val="00C32940"/>
    <w:rsid w:val="00C33BA2"/>
    <w:rsid w:val="00C3497E"/>
    <w:rsid w:val="00C34E1F"/>
    <w:rsid w:val="00C34E4C"/>
    <w:rsid w:val="00C35796"/>
    <w:rsid w:val="00C37F99"/>
    <w:rsid w:val="00C40089"/>
    <w:rsid w:val="00C405DD"/>
    <w:rsid w:val="00C44DA7"/>
    <w:rsid w:val="00C45761"/>
    <w:rsid w:val="00C45FD7"/>
    <w:rsid w:val="00C464D6"/>
    <w:rsid w:val="00C47209"/>
    <w:rsid w:val="00C53B05"/>
    <w:rsid w:val="00C5512F"/>
    <w:rsid w:val="00C63493"/>
    <w:rsid w:val="00C636EB"/>
    <w:rsid w:val="00C6562E"/>
    <w:rsid w:val="00C65763"/>
    <w:rsid w:val="00C66164"/>
    <w:rsid w:val="00C66D34"/>
    <w:rsid w:val="00C67CCF"/>
    <w:rsid w:val="00C67EDE"/>
    <w:rsid w:val="00C7035D"/>
    <w:rsid w:val="00C703DA"/>
    <w:rsid w:val="00C71806"/>
    <w:rsid w:val="00C73141"/>
    <w:rsid w:val="00C74C4A"/>
    <w:rsid w:val="00C752C8"/>
    <w:rsid w:val="00C771BC"/>
    <w:rsid w:val="00C7775C"/>
    <w:rsid w:val="00C80CA6"/>
    <w:rsid w:val="00C82A01"/>
    <w:rsid w:val="00C82D41"/>
    <w:rsid w:val="00C84E58"/>
    <w:rsid w:val="00C878A4"/>
    <w:rsid w:val="00C90E2C"/>
    <w:rsid w:val="00C91C5F"/>
    <w:rsid w:val="00C95F6A"/>
    <w:rsid w:val="00C96273"/>
    <w:rsid w:val="00C9695A"/>
    <w:rsid w:val="00C977F7"/>
    <w:rsid w:val="00CA02C5"/>
    <w:rsid w:val="00CA1262"/>
    <w:rsid w:val="00CA3F65"/>
    <w:rsid w:val="00CA41CD"/>
    <w:rsid w:val="00CA510E"/>
    <w:rsid w:val="00CA5445"/>
    <w:rsid w:val="00CA7FA8"/>
    <w:rsid w:val="00CB0409"/>
    <w:rsid w:val="00CB1F0C"/>
    <w:rsid w:val="00CB23F6"/>
    <w:rsid w:val="00CB30BB"/>
    <w:rsid w:val="00CB36FB"/>
    <w:rsid w:val="00CB3BAA"/>
    <w:rsid w:val="00CB4040"/>
    <w:rsid w:val="00CB4A6B"/>
    <w:rsid w:val="00CB505E"/>
    <w:rsid w:val="00CB5784"/>
    <w:rsid w:val="00CB7314"/>
    <w:rsid w:val="00CC0DFA"/>
    <w:rsid w:val="00CC138F"/>
    <w:rsid w:val="00CC1A63"/>
    <w:rsid w:val="00CC7231"/>
    <w:rsid w:val="00CC79DB"/>
    <w:rsid w:val="00CD0BF5"/>
    <w:rsid w:val="00CD0DEE"/>
    <w:rsid w:val="00CD2DB5"/>
    <w:rsid w:val="00CD319B"/>
    <w:rsid w:val="00CD6EF6"/>
    <w:rsid w:val="00CE0349"/>
    <w:rsid w:val="00CE2E22"/>
    <w:rsid w:val="00CE355F"/>
    <w:rsid w:val="00CE4E69"/>
    <w:rsid w:val="00CE50E7"/>
    <w:rsid w:val="00CE5250"/>
    <w:rsid w:val="00CE6AFD"/>
    <w:rsid w:val="00CF0D80"/>
    <w:rsid w:val="00CF185E"/>
    <w:rsid w:val="00CF22E6"/>
    <w:rsid w:val="00CF3908"/>
    <w:rsid w:val="00CF3E9D"/>
    <w:rsid w:val="00CF6FF6"/>
    <w:rsid w:val="00CF796E"/>
    <w:rsid w:val="00D00CFD"/>
    <w:rsid w:val="00D039CF"/>
    <w:rsid w:val="00D03C5C"/>
    <w:rsid w:val="00D03E25"/>
    <w:rsid w:val="00D0579E"/>
    <w:rsid w:val="00D06EC1"/>
    <w:rsid w:val="00D07F1F"/>
    <w:rsid w:val="00D11A34"/>
    <w:rsid w:val="00D12248"/>
    <w:rsid w:val="00D13085"/>
    <w:rsid w:val="00D14322"/>
    <w:rsid w:val="00D143B8"/>
    <w:rsid w:val="00D16853"/>
    <w:rsid w:val="00D17F93"/>
    <w:rsid w:val="00D219FB"/>
    <w:rsid w:val="00D222CB"/>
    <w:rsid w:val="00D2306E"/>
    <w:rsid w:val="00D243AF"/>
    <w:rsid w:val="00D24BCC"/>
    <w:rsid w:val="00D27C3E"/>
    <w:rsid w:val="00D31055"/>
    <w:rsid w:val="00D3494D"/>
    <w:rsid w:val="00D34FC1"/>
    <w:rsid w:val="00D4040B"/>
    <w:rsid w:val="00D40ADF"/>
    <w:rsid w:val="00D426DD"/>
    <w:rsid w:val="00D45CD5"/>
    <w:rsid w:val="00D479ED"/>
    <w:rsid w:val="00D5212D"/>
    <w:rsid w:val="00D5412F"/>
    <w:rsid w:val="00D55F3A"/>
    <w:rsid w:val="00D60AE2"/>
    <w:rsid w:val="00D61769"/>
    <w:rsid w:val="00D61B27"/>
    <w:rsid w:val="00D6222D"/>
    <w:rsid w:val="00D62A4E"/>
    <w:rsid w:val="00D64C9D"/>
    <w:rsid w:val="00D65BD3"/>
    <w:rsid w:val="00D65C34"/>
    <w:rsid w:val="00D66121"/>
    <w:rsid w:val="00D66601"/>
    <w:rsid w:val="00D7078F"/>
    <w:rsid w:val="00D71FBB"/>
    <w:rsid w:val="00D723F9"/>
    <w:rsid w:val="00D725E3"/>
    <w:rsid w:val="00D7480D"/>
    <w:rsid w:val="00D74930"/>
    <w:rsid w:val="00D749B4"/>
    <w:rsid w:val="00D74B86"/>
    <w:rsid w:val="00D76788"/>
    <w:rsid w:val="00D83706"/>
    <w:rsid w:val="00D84371"/>
    <w:rsid w:val="00D85327"/>
    <w:rsid w:val="00D905A4"/>
    <w:rsid w:val="00D92045"/>
    <w:rsid w:val="00D92B30"/>
    <w:rsid w:val="00D9335B"/>
    <w:rsid w:val="00D9399B"/>
    <w:rsid w:val="00D9786B"/>
    <w:rsid w:val="00DA28A4"/>
    <w:rsid w:val="00DA2C0E"/>
    <w:rsid w:val="00DA2FA0"/>
    <w:rsid w:val="00DA45AB"/>
    <w:rsid w:val="00DA5F1A"/>
    <w:rsid w:val="00DA7F40"/>
    <w:rsid w:val="00DB0EF2"/>
    <w:rsid w:val="00DB1325"/>
    <w:rsid w:val="00DB2275"/>
    <w:rsid w:val="00DB25FD"/>
    <w:rsid w:val="00DB3272"/>
    <w:rsid w:val="00DB3FB4"/>
    <w:rsid w:val="00DB6B0A"/>
    <w:rsid w:val="00DC0BC2"/>
    <w:rsid w:val="00DC1324"/>
    <w:rsid w:val="00DC20BE"/>
    <w:rsid w:val="00DC346E"/>
    <w:rsid w:val="00DC37E6"/>
    <w:rsid w:val="00DC71ED"/>
    <w:rsid w:val="00DD1591"/>
    <w:rsid w:val="00DD1B22"/>
    <w:rsid w:val="00DD2085"/>
    <w:rsid w:val="00DD4190"/>
    <w:rsid w:val="00DD67C4"/>
    <w:rsid w:val="00DD69E6"/>
    <w:rsid w:val="00DE2643"/>
    <w:rsid w:val="00DE4B78"/>
    <w:rsid w:val="00DE76B7"/>
    <w:rsid w:val="00DF1755"/>
    <w:rsid w:val="00DF2D3C"/>
    <w:rsid w:val="00DF4FD2"/>
    <w:rsid w:val="00DF6060"/>
    <w:rsid w:val="00DF6D7F"/>
    <w:rsid w:val="00E049C4"/>
    <w:rsid w:val="00E067B2"/>
    <w:rsid w:val="00E07831"/>
    <w:rsid w:val="00E10990"/>
    <w:rsid w:val="00E11073"/>
    <w:rsid w:val="00E137B0"/>
    <w:rsid w:val="00E13C36"/>
    <w:rsid w:val="00E14C0E"/>
    <w:rsid w:val="00E14DE8"/>
    <w:rsid w:val="00E1788E"/>
    <w:rsid w:val="00E206A1"/>
    <w:rsid w:val="00E20E9F"/>
    <w:rsid w:val="00E212A5"/>
    <w:rsid w:val="00E21605"/>
    <w:rsid w:val="00E225A9"/>
    <w:rsid w:val="00E2322A"/>
    <w:rsid w:val="00E23D6C"/>
    <w:rsid w:val="00E24547"/>
    <w:rsid w:val="00E24DF2"/>
    <w:rsid w:val="00E24F6D"/>
    <w:rsid w:val="00E26401"/>
    <w:rsid w:val="00E26BA8"/>
    <w:rsid w:val="00E317C7"/>
    <w:rsid w:val="00E31DA3"/>
    <w:rsid w:val="00E3349D"/>
    <w:rsid w:val="00E3546A"/>
    <w:rsid w:val="00E37927"/>
    <w:rsid w:val="00E403CC"/>
    <w:rsid w:val="00E40C13"/>
    <w:rsid w:val="00E42A5E"/>
    <w:rsid w:val="00E436FF"/>
    <w:rsid w:val="00E440F0"/>
    <w:rsid w:val="00E451EA"/>
    <w:rsid w:val="00E46785"/>
    <w:rsid w:val="00E46A8F"/>
    <w:rsid w:val="00E471EF"/>
    <w:rsid w:val="00E5030A"/>
    <w:rsid w:val="00E50D02"/>
    <w:rsid w:val="00E5215C"/>
    <w:rsid w:val="00E52DCD"/>
    <w:rsid w:val="00E52EE2"/>
    <w:rsid w:val="00E53064"/>
    <w:rsid w:val="00E53BE9"/>
    <w:rsid w:val="00E53CA3"/>
    <w:rsid w:val="00E540B4"/>
    <w:rsid w:val="00E56F8B"/>
    <w:rsid w:val="00E60FF2"/>
    <w:rsid w:val="00E614A0"/>
    <w:rsid w:val="00E618A5"/>
    <w:rsid w:val="00E635A3"/>
    <w:rsid w:val="00E63E8F"/>
    <w:rsid w:val="00E6441E"/>
    <w:rsid w:val="00E65B02"/>
    <w:rsid w:val="00E65C07"/>
    <w:rsid w:val="00E70525"/>
    <w:rsid w:val="00E71561"/>
    <w:rsid w:val="00E71C51"/>
    <w:rsid w:val="00E72BA0"/>
    <w:rsid w:val="00E72D72"/>
    <w:rsid w:val="00E751A3"/>
    <w:rsid w:val="00E81C32"/>
    <w:rsid w:val="00E82ACE"/>
    <w:rsid w:val="00E836FE"/>
    <w:rsid w:val="00E84C03"/>
    <w:rsid w:val="00E8510D"/>
    <w:rsid w:val="00E86D6E"/>
    <w:rsid w:val="00E8787E"/>
    <w:rsid w:val="00E9056A"/>
    <w:rsid w:val="00E90E1B"/>
    <w:rsid w:val="00E94667"/>
    <w:rsid w:val="00E951B3"/>
    <w:rsid w:val="00E96C4D"/>
    <w:rsid w:val="00E9769D"/>
    <w:rsid w:val="00E977C5"/>
    <w:rsid w:val="00E97BEB"/>
    <w:rsid w:val="00EA0309"/>
    <w:rsid w:val="00EA0771"/>
    <w:rsid w:val="00EA0A00"/>
    <w:rsid w:val="00EA2DE6"/>
    <w:rsid w:val="00EA6B3F"/>
    <w:rsid w:val="00EB2E79"/>
    <w:rsid w:val="00EB300A"/>
    <w:rsid w:val="00EB343A"/>
    <w:rsid w:val="00EB4855"/>
    <w:rsid w:val="00EB5C7C"/>
    <w:rsid w:val="00EB6627"/>
    <w:rsid w:val="00EB7CB5"/>
    <w:rsid w:val="00EC095B"/>
    <w:rsid w:val="00EC5ECF"/>
    <w:rsid w:val="00EC7172"/>
    <w:rsid w:val="00EC7AAA"/>
    <w:rsid w:val="00EC7DB2"/>
    <w:rsid w:val="00ED006C"/>
    <w:rsid w:val="00ED048B"/>
    <w:rsid w:val="00ED14B2"/>
    <w:rsid w:val="00ED1902"/>
    <w:rsid w:val="00ED27B8"/>
    <w:rsid w:val="00ED3AD6"/>
    <w:rsid w:val="00ED4389"/>
    <w:rsid w:val="00ED4465"/>
    <w:rsid w:val="00ED4790"/>
    <w:rsid w:val="00ED5EB9"/>
    <w:rsid w:val="00ED6327"/>
    <w:rsid w:val="00ED6611"/>
    <w:rsid w:val="00EE0DEB"/>
    <w:rsid w:val="00EE0F2F"/>
    <w:rsid w:val="00EE73E3"/>
    <w:rsid w:val="00EE79F4"/>
    <w:rsid w:val="00EF0918"/>
    <w:rsid w:val="00EF115F"/>
    <w:rsid w:val="00EF23DE"/>
    <w:rsid w:val="00EF2C05"/>
    <w:rsid w:val="00EF3877"/>
    <w:rsid w:val="00EF39F6"/>
    <w:rsid w:val="00EF638D"/>
    <w:rsid w:val="00F00B2A"/>
    <w:rsid w:val="00F0179F"/>
    <w:rsid w:val="00F01F58"/>
    <w:rsid w:val="00F03FD9"/>
    <w:rsid w:val="00F04E47"/>
    <w:rsid w:val="00F059EF"/>
    <w:rsid w:val="00F0675B"/>
    <w:rsid w:val="00F06EC6"/>
    <w:rsid w:val="00F07C13"/>
    <w:rsid w:val="00F1194E"/>
    <w:rsid w:val="00F11959"/>
    <w:rsid w:val="00F13262"/>
    <w:rsid w:val="00F13924"/>
    <w:rsid w:val="00F14F48"/>
    <w:rsid w:val="00F2034E"/>
    <w:rsid w:val="00F20E58"/>
    <w:rsid w:val="00F23D7C"/>
    <w:rsid w:val="00F24F69"/>
    <w:rsid w:val="00F30D01"/>
    <w:rsid w:val="00F3103D"/>
    <w:rsid w:val="00F32D90"/>
    <w:rsid w:val="00F331DD"/>
    <w:rsid w:val="00F338A0"/>
    <w:rsid w:val="00F33EB9"/>
    <w:rsid w:val="00F34010"/>
    <w:rsid w:val="00F36406"/>
    <w:rsid w:val="00F375D0"/>
    <w:rsid w:val="00F37C3F"/>
    <w:rsid w:val="00F42B95"/>
    <w:rsid w:val="00F43C74"/>
    <w:rsid w:val="00F4480A"/>
    <w:rsid w:val="00F4686C"/>
    <w:rsid w:val="00F471A4"/>
    <w:rsid w:val="00F519B5"/>
    <w:rsid w:val="00F524E8"/>
    <w:rsid w:val="00F52A8A"/>
    <w:rsid w:val="00F5391B"/>
    <w:rsid w:val="00F550A7"/>
    <w:rsid w:val="00F56063"/>
    <w:rsid w:val="00F56886"/>
    <w:rsid w:val="00F60857"/>
    <w:rsid w:val="00F628DD"/>
    <w:rsid w:val="00F629CE"/>
    <w:rsid w:val="00F62BA4"/>
    <w:rsid w:val="00F63B7C"/>
    <w:rsid w:val="00F643BD"/>
    <w:rsid w:val="00F6594E"/>
    <w:rsid w:val="00F659D4"/>
    <w:rsid w:val="00F67F2B"/>
    <w:rsid w:val="00F7169B"/>
    <w:rsid w:val="00F739DF"/>
    <w:rsid w:val="00F7576E"/>
    <w:rsid w:val="00F76AD0"/>
    <w:rsid w:val="00F80C55"/>
    <w:rsid w:val="00F824C7"/>
    <w:rsid w:val="00F83AB9"/>
    <w:rsid w:val="00F83D4F"/>
    <w:rsid w:val="00F83EE7"/>
    <w:rsid w:val="00F84801"/>
    <w:rsid w:val="00F8517B"/>
    <w:rsid w:val="00F857FE"/>
    <w:rsid w:val="00F8762B"/>
    <w:rsid w:val="00F87777"/>
    <w:rsid w:val="00F903B6"/>
    <w:rsid w:val="00F9040F"/>
    <w:rsid w:val="00F90B24"/>
    <w:rsid w:val="00F979BC"/>
    <w:rsid w:val="00FA018D"/>
    <w:rsid w:val="00FA162E"/>
    <w:rsid w:val="00FA1D09"/>
    <w:rsid w:val="00FA22C8"/>
    <w:rsid w:val="00FA2D19"/>
    <w:rsid w:val="00FA52C6"/>
    <w:rsid w:val="00FA5363"/>
    <w:rsid w:val="00FA547E"/>
    <w:rsid w:val="00FA5909"/>
    <w:rsid w:val="00FA6E4D"/>
    <w:rsid w:val="00FA7AE5"/>
    <w:rsid w:val="00FB0CDC"/>
    <w:rsid w:val="00FB2811"/>
    <w:rsid w:val="00FB2951"/>
    <w:rsid w:val="00FB332A"/>
    <w:rsid w:val="00FB398F"/>
    <w:rsid w:val="00FB4826"/>
    <w:rsid w:val="00FB5620"/>
    <w:rsid w:val="00FB5A25"/>
    <w:rsid w:val="00FB6AEC"/>
    <w:rsid w:val="00FB7BB2"/>
    <w:rsid w:val="00FC0564"/>
    <w:rsid w:val="00FC079F"/>
    <w:rsid w:val="00FC0CA3"/>
    <w:rsid w:val="00FC0DF2"/>
    <w:rsid w:val="00FC43EA"/>
    <w:rsid w:val="00FC555C"/>
    <w:rsid w:val="00FD2713"/>
    <w:rsid w:val="00FD2DA4"/>
    <w:rsid w:val="00FD5097"/>
    <w:rsid w:val="00FD5125"/>
    <w:rsid w:val="00FD6320"/>
    <w:rsid w:val="00FE07E5"/>
    <w:rsid w:val="00FE0A05"/>
    <w:rsid w:val="00FE1236"/>
    <w:rsid w:val="00FE1BCD"/>
    <w:rsid w:val="00FE2B1D"/>
    <w:rsid w:val="00FE36A0"/>
    <w:rsid w:val="00FE4B95"/>
    <w:rsid w:val="00FE5259"/>
    <w:rsid w:val="00FE5F6A"/>
    <w:rsid w:val="00FE7E9A"/>
    <w:rsid w:val="00FF12DF"/>
    <w:rsid w:val="00FF1E16"/>
    <w:rsid w:val="00FF67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98DC3"/>
  <w15:chartTrackingRefBased/>
  <w15:docId w15:val="{07940D66-67A0-4882-A454-F4852AED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3F6"/>
    <w:rPr>
      <w:rFonts w:ascii="Arial" w:hAnsi="Arial"/>
      <w:szCs w:val="22"/>
      <w:lang w:eastAsia="en-US"/>
    </w:rPr>
  </w:style>
  <w:style w:type="paragraph" w:styleId="Heading1">
    <w:name w:val="heading 1"/>
    <w:basedOn w:val="Normal"/>
    <w:next w:val="Normal"/>
    <w:link w:val="Heading1Char"/>
    <w:uiPriority w:val="9"/>
    <w:qFormat/>
    <w:rsid w:val="00653044"/>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3044"/>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53044"/>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5304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304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5304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5304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5304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5304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841"/>
    <w:rPr>
      <w:rFonts w:ascii="Tahoma" w:hAnsi="Tahoma" w:cs="Tahoma"/>
      <w:sz w:val="16"/>
      <w:szCs w:val="16"/>
    </w:rPr>
  </w:style>
  <w:style w:type="character" w:customStyle="1" w:styleId="BalloonTextChar">
    <w:name w:val="Balloon Text Char"/>
    <w:link w:val="BalloonText"/>
    <w:uiPriority w:val="99"/>
    <w:semiHidden/>
    <w:rsid w:val="00327841"/>
    <w:rPr>
      <w:rFonts w:ascii="Tahoma" w:hAnsi="Tahoma" w:cs="Tahoma"/>
      <w:sz w:val="16"/>
      <w:szCs w:val="16"/>
    </w:rPr>
  </w:style>
  <w:style w:type="table" w:styleId="TableGrid">
    <w:name w:val="Table Grid"/>
    <w:basedOn w:val="TableNormal"/>
    <w:uiPriority w:val="59"/>
    <w:rsid w:val="00212C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372FA"/>
    <w:pPr>
      <w:tabs>
        <w:tab w:val="center" w:pos="4536"/>
        <w:tab w:val="right" w:pos="9072"/>
      </w:tabs>
    </w:pPr>
  </w:style>
  <w:style w:type="character" w:customStyle="1" w:styleId="HeaderChar">
    <w:name w:val="Header Char"/>
    <w:link w:val="Header"/>
    <w:uiPriority w:val="99"/>
    <w:rsid w:val="006372FA"/>
    <w:rPr>
      <w:rFonts w:ascii="Arial" w:hAnsi="Arial"/>
      <w:szCs w:val="22"/>
      <w:lang w:eastAsia="en-US"/>
    </w:rPr>
  </w:style>
  <w:style w:type="paragraph" w:styleId="Footer">
    <w:name w:val="footer"/>
    <w:basedOn w:val="Normal"/>
    <w:link w:val="FooterChar"/>
    <w:uiPriority w:val="99"/>
    <w:unhideWhenUsed/>
    <w:rsid w:val="006372FA"/>
    <w:pPr>
      <w:tabs>
        <w:tab w:val="center" w:pos="4536"/>
        <w:tab w:val="right" w:pos="9072"/>
      </w:tabs>
    </w:pPr>
  </w:style>
  <w:style w:type="character" w:customStyle="1" w:styleId="FooterChar">
    <w:name w:val="Footer Char"/>
    <w:link w:val="Footer"/>
    <w:uiPriority w:val="99"/>
    <w:rsid w:val="006372FA"/>
    <w:rPr>
      <w:rFonts w:ascii="Arial" w:hAnsi="Arial"/>
      <w:szCs w:val="22"/>
      <w:lang w:eastAsia="en-US"/>
    </w:rPr>
  </w:style>
  <w:style w:type="character" w:styleId="Hyperlink">
    <w:name w:val="Hyperlink"/>
    <w:uiPriority w:val="99"/>
    <w:unhideWhenUsed/>
    <w:rsid w:val="00187BB0"/>
    <w:rPr>
      <w:color w:val="0563C1"/>
      <w:u w:val="single"/>
    </w:rPr>
  </w:style>
  <w:style w:type="character" w:styleId="UnresolvedMention">
    <w:name w:val="Unresolved Mention"/>
    <w:uiPriority w:val="99"/>
    <w:semiHidden/>
    <w:unhideWhenUsed/>
    <w:rsid w:val="00187BB0"/>
    <w:rPr>
      <w:color w:val="808080"/>
      <w:shd w:val="clear" w:color="auto" w:fill="E6E6E6"/>
    </w:rPr>
  </w:style>
  <w:style w:type="paragraph" w:styleId="ListParagraph">
    <w:name w:val="List Paragraph"/>
    <w:aliases w:val="3,Akapit z listą BS,Bullet1,Bullets,Ha,Heading 11,IBL List Paragraph,L,List Paragraph (numbered (a)),List Paragraph 1,List Paragraph nowy,List Paragraph-ExecSummary,List_Paragraph,Liste 1,Multilevel para_II,ReferencesCxSpLast,l,lp1,본문(내용)"/>
    <w:basedOn w:val="Normal"/>
    <w:link w:val="ListParagraphChar"/>
    <w:uiPriority w:val="34"/>
    <w:qFormat/>
    <w:rsid w:val="00A223F1"/>
    <w:pPr>
      <w:ind w:left="720"/>
      <w:contextualSpacing/>
    </w:pPr>
  </w:style>
  <w:style w:type="character" w:customStyle="1" w:styleId="Heading1Char">
    <w:name w:val="Heading 1 Char"/>
    <w:basedOn w:val="DefaultParagraphFont"/>
    <w:link w:val="Heading1"/>
    <w:uiPriority w:val="9"/>
    <w:rsid w:val="00653044"/>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653044"/>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653044"/>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653044"/>
    <w:rPr>
      <w:rFonts w:asciiTheme="majorHAnsi" w:eastAsiaTheme="majorEastAsia" w:hAnsiTheme="majorHAnsi" w:cstheme="majorBidi"/>
      <w:i/>
      <w:iCs/>
      <w:color w:val="2F5496" w:themeColor="accent1" w:themeShade="BF"/>
      <w:szCs w:val="22"/>
      <w:lang w:eastAsia="en-US"/>
    </w:rPr>
  </w:style>
  <w:style w:type="character" w:customStyle="1" w:styleId="Heading5Char">
    <w:name w:val="Heading 5 Char"/>
    <w:basedOn w:val="DefaultParagraphFont"/>
    <w:link w:val="Heading5"/>
    <w:uiPriority w:val="9"/>
    <w:semiHidden/>
    <w:rsid w:val="00653044"/>
    <w:rPr>
      <w:rFonts w:asciiTheme="majorHAnsi" w:eastAsiaTheme="majorEastAsia" w:hAnsiTheme="majorHAnsi" w:cstheme="majorBidi"/>
      <w:color w:val="2F5496" w:themeColor="accent1" w:themeShade="BF"/>
      <w:szCs w:val="22"/>
      <w:lang w:eastAsia="en-US"/>
    </w:rPr>
  </w:style>
  <w:style w:type="character" w:customStyle="1" w:styleId="Heading6Char">
    <w:name w:val="Heading 6 Char"/>
    <w:basedOn w:val="DefaultParagraphFont"/>
    <w:link w:val="Heading6"/>
    <w:uiPriority w:val="9"/>
    <w:semiHidden/>
    <w:rsid w:val="00653044"/>
    <w:rPr>
      <w:rFonts w:asciiTheme="majorHAnsi" w:eastAsiaTheme="majorEastAsia" w:hAnsiTheme="majorHAnsi" w:cstheme="majorBidi"/>
      <w:color w:val="1F3763" w:themeColor="accent1" w:themeShade="7F"/>
      <w:szCs w:val="22"/>
      <w:lang w:eastAsia="en-US"/>
    </w:rPr>
  </w:style>
  <w:style w:type="character" w:customStyle="1" w:styleId="Heading7Char">
    <w:name w:val="Heading 7 Char"/>
    <w:basedOn w:val="DefaultParagraphFont"/>
    <w:link w:val="Heading7"/>
    <w:uiPriority w:val="9"/>
    <w:semiHidden/>
    <w:rsid w:val="00653044"/>
    <w:rPr>
      <w:rFonts w:asciiTheme="majorHAnsi" w:eastAsiaTheme="majorEastAsia" w:hAnsiTheme="majorHAnsi" w:cstheme="majorBidi"/>
      <w:i/>
      <w:iCs/>
      <w:color w:val="1F3763" w:themeColor="accent1" w:themeShade="7F"/>
      <w:szCs w:val="22"/>
      <w:lang w:eastAsia="en-US"/>
    </w:rPr>
  </w:style>
  <w:style w:type="character" w:customStyle="1" w:styleId="Heading8Char">
    <w:name w:val="Heading 8 Char"/>
    <w:basedOn w:val="DefaultParagraphFont"/>
    <w:link w:val="Heading8"/>
    <w:uiPriority w:val="9"/>
    <w:semiHidden/>
    <w:rsid w:val="0065304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653044"/>
    <w:rPr>
      <w:rFonts w:asciiTheme="majorHAnsi" w:eastAsiaTheme="majorEastAsia" w:hAnsiTheme="majorHAnsi" w:cstheme="majorBidi"/>
      <w:i/>
      <w:iCs/>
      <w:color w:val="272727" w:themeColor="text1" w:themeTint="D8"/>
      <w:sz w:val="21"/>
      <w:szCs w:val="21"/>
      <w:lang w:eastAsia="en-US"/>
    </w:rPr>
  </w:style>
  <w:style w:type="paragraph" w:customStyle="1" w:styleId="Style1">
    <w:name w:val="Style1"/>
    <w:basedOn w:val="Heading1"/>
    <w:link w:val="Style1Char"/>
    <w:qFormat/>
    <w:rsid w:val="00653044"/>
    <w:rPr>
      <w:rFonts w:asciiTheme="minorHAnsi" w:hAnsiTheme="minorHAnsi"/>
      <w:sz w:val="24"/>
    </w:rPr>
  </w:style>
  <w:style w:type="paragraph" w:customStyle="1" w:styleId="HeadingA">
    <w:name w:val="Heading A"/>
    <w:basedOn w:val="Normal"/>
    <w:link w:val="HeadingAChar"/>
    <w:qFormat/>
    <w:rsid w:val="00402746"/>
    <w:pPr>
      <w:numPr>
        <w:numId w:val="2"/>
      </w:numPr>
      <w:spacing w:before="360" w:after="360"/>
    </w:pPr>
    <w:rPr>
      <w:rFonts w:ascii="Calibri" w:hAnsi="Calibri" w:cs="Calibri"/>
      <w:b/>
      <w:color w:val="2F5496" w:themeColor="accent1" w:themeShade="BF"/>
      <w:sz w:val="22"/>
    </w:rPr>
  </w:style>
  <w:style w:type="character" w:customStyle="1" w:styleId="Style1Char">
    <w:name w:val="Style1 Char"/>
    <w:basedOn w:val="Heading1Char"/>
    <w:link w:val="Style1"/>
    <w:rsid w:val="00653044"/>
    <w:rPr>
      <w:rFonts w:asciiTheme="minorHAnsi" w:eastAsiaTheme="majorEastAsia" w:hAnsiTheme="minorHAnsi" w:cstheme="majorBidi"/>
      <w:color w:val="2F5496" w:themeColor="accent1" w:themeShade="BF"/>
      <w:sz w:val="24"/>
      <w:szCs w:val="32"/>
      <w:lang w:eastAsia="en-US"/>
    </w:rPr>
  </w:style>
  <w:style w:type="character" w:customStyle="1" w:styleId="HeadingAChar">
    <w:name w:val="Heading A Char"/>
    <w:basedOn w:val="Heading1Char"/>
    <w:link w:val="HeadingA"/>
    <w:rsid w:val="00402746"/>
    <w:rPr>
      <w:rFonts w:asciiTheme="majorHAnsi" w:eastAsiaTheme="majorEastAsia" w:hAnsiTheme="majorHAnsi" w:cs="Calibri"/>
      <w:b/>
      <w:color w:val="2F5496" w:themeColor="accent1" w:themeShade="BF"/>
      <w:sz w:val="22"/>
      <w:szCs w:val="22"/>
      <w:lang w:eastAsia="en-US"/>
    </w:rPr>
  </w:style>
  <w:style w:type="character" w:customStyle="1" w:styleId="CharStyle3">
    <w:name w:val="Char Style 3"/>
    <w:basedOn w:val="DefaultParagraphFont"/>
    <w:link w:val="Style2"/>
    <w:rsid w:val="00EE73E3"/>
    <w:rPr>
      <w:sz w:val="17"/>
      <w:szCs w:val="17"/>
      <w:shd w:val="clear" w:color="auto" w:fill="FFFFFF"/>
    </w:rPr>
  </w:style>
  <w:style w:type="character" w:customStyle="1" w:styleId="CharStyle31">
    <w:name w:val="Char Style 31"/>
    <w:basedOn w:val="DefaultParagraphFont"/>
    <w:link w:val="Style30"/>
    <w:rsid w:val="00EE73E3"/>
    <w:rPr>
      <w:sz w:val="22"/>
      <w:szCs w:val="22"/>
      <w:shd w:val="clear" w:color="auto" w:fill="FFFFFF"/>
    </w:rPr>
  </w:style>
  <w:style w:type="paragraph" w:customStyle="1" w:styleId="Style2">
    <w:name w:val="Style 2"/>
    <w:basedOn w:val="Normal"/>
    <w:link w:val="CharStyle3"/>
    <w:qFormat/>
    <w:rsid w:val="00EE73E3"/>
    <w:pPr>
      <w:widowControl w:val="0"/>
      <w:shd w:val="clear" w:color="auto" w:fill="FFFFFF"/>
      <w:spacing w:line="188" w:lineRule="exact"/>
    </w:pPr>
    <w:rPr>
      <w:rFonts w:ascii="Calibri" w:hAnsi="Calibri"/>
      <w:sz w:val="17"/>
      <w:szCs w:val="17"/>
      <w:lang w:eastAsia="hr-HR"/>
    </w:rPr>
  </w:style>
  <w:style w:type="paragraph" w:customStyle="1" w:styleId="Style30">
    <w:name w:val="Style 30"/>
    <w:basedOn w:val="Normal"/>
    <w:link w:val="CharStyle31"/>
    <w:qFormat/>
    <w:rsid w:val="00EE73E3"/>
    <w:pPr>
      <w:widowControl w:val="0"/>
      <w:shd w:val="clear" w:color="auto" w:fill="FFFFFF"/>
      <w:spacing w:before="220" w:after="120" w:line="274" w:lineRule="exact"/>
      <w:ind w:hanging="640"/>
      <w:jc w:val="both"/>
    </w:pPr>
    <w:rPr>
      <w:rFonts w:ascii="Calibri" w:hAnsi="Calibri"/>
      <w:sz w:val="22"/>
      <w:lang w:eastAsia="hr-HR"/>
    </w:rPr>
  </w:style>
  <w:style w:type="character" w:customStyle="1" w:styleId="CharStyle9">
    <w:name w:val="Char Style 9"/>
    <w:basedOn w:val="DefaultParagraphFont"/>
    <w:link w:val="Style8"/>
    <w:locked/>
    <w:rsid w:val="00D725E3"/>
    <w:rPr>
      <w:b/>
      <w:bCs/>
      <w:shd w:val="clear" w:color="auto" w:fill="FFFFFF"/>
    </w:rPr>
  </w:style>
  <w:style w:type="paragraph" w:customStyle="1" w:styleId="Style8">
    <w:name w:val="Style 8"/>
    <w:basedOn w:val="Normal"/>
    <w:link w:val="CharStyle9"/>
    <w:qFormat/>
    <w:rsid w:val="00D725E3"/>
    <w:pPr>
      <w:widowControl w:val="0"/>
      <w:shd w:val="clear" w:color="auto" w:fill="FFFFFF"/>
      <w:spacing w:before="680" w:after="140" w:line="442" w:lineRule="exact"/>
      <w:jc w:val="center"/>
      <w:outlineLvl w:val="2"/>
    </w:pPr>
    <w:rPr>
      <w:rFonts w:ascii="Calibri" w:hAnsi="Calibri"/>
      <w:b/>
      <w:bCs/>
      <w:szCs w:val="20"/>
      <w:lang w:eastAsia="hr-HR"/>
    </w:rPr>
  </w:style>
  <w:style w:type="character" w:customStyle="1" w:styleId="CharStyle11">
    <w:name w:val="Char Style 11"/>
    <w:basedOn w:val="DefaultParagraphFont"/>
    <w:link w:val="Style10"/>
    <w:locked/>
    <w:rsid w:val="00D725E3"/>
    <w:rPr>
      <w:sz w:val="21"/>
      <w:szCs w:val="21"/>
      <w:shd w:val="clear" w:color="auto" w:fill="FFFFFF"/>
    </w:rPr>
  </w:style>
  <w:style w:type="paragraph" w:customStyle="1" w:styleId="Style10">
    <w:name w:val="Style 10"/>
    <w:basedOn w:val="Normal"/>
    <w:link w:val="CharStyle11"/>
    <w:qFormat/>
    <w:rsid w:val="00D725E3"/>
    <w:pPr>
      <w:widowControl w:val="0"/>
      <w:shd w:val="clear" w:color="auto" w:fill="FFFFFF"/>
      <w:spacing w:before="140" w:after="140" w:line="283" w:lineRule="exact"/>
      <w:ind w:hanging="420"/>
      <w:jc w:val="both"/>
    </w:pPr>
    <w:rPr>
      <w:rFonts w:ascii="Calibri" w:hAnsi="Calibri"/>
      <w:sz w:val="21"/>
      <w:szCs w:val="21"/>
      <w:lang w:eastAsia="hr-HR"/>
    </w:rPr>
  </w:style>
  <w:style w:type="character" w:customStyle="1" w:styleId="CharStyle14">
    <w:name w:val="Char Style 14"/>
    <w:basedOn w:val="DefaultParagraphFont"/>
    <w:link w:val="Style13"/>
    <w:locked/>
    <w:rsid w:val="00D725E3"/>
    <w:rPr>
      <w:b/>
      <w:bCs/>
      <w:sz w:val="21"/>
      <w:szCs w:val="21"/>
      <w:shd w:val="clear" w:color="auto" w:fill="FFFFFF"/>
    </w:rPr>
  </w:style>
  <w:style w:type="paragraph" w:customStyle="1" w:styleId="Style13">
    <w:name w:val="Style 13"/>
    <w:basedOn w:val="Normal"/>
    <w:link w:val="CharStyle14"/>
    <w:rsid w:val="00D725E3"/>
    <w:pPr>
      <w:widowControl w:val="0"/>
      <w:shd w:val="clear" w:color="auto" w:fill="FFFFFF"/>
      <w:spacing w:before="360" w:after="140" w:line="232" w:lineRule="exact"/>
      <w:jc w:val="both"/>
    </w:pPr>
    <w:rPr>
      <w:rFonts w:ascii="Calibri" w:hAnsi="Calibri"/>
      <w:b/>
      <w:bCs/>
      <w:sz w:val="21"/>
      <w:szCs w:val="21"/>
      <w:lang w:eastAsia="hr-HR"/>
    </w:rPr>
  </w:style>
  <w:style w:type="character" w:customStyle="1" w:styleId="CharStyle16">
    <w:name w:val="Char Style 16"/>
    <w:basedOn w:val="DefaultParagraphFont"/>
    <w:link w:val="Style15"/>
    <w:locked/>
    <w:rsid w:val="00D725E3"/>
    <w:rPr>
      <w:shd w:val="clear" w:color="auto" w:fill="FFFFFF"/>
    </w:rPr>
  </w:style>
  <w:style w:type="paragraph" w:customStyle="1" w:styleId="Style15">
    <w:name w:val="Style 15"/>
    <w:basedOn w:val="Normal"/>
    <w:link w:val="CharStyle16"/>
    <w:rsid w:val="00D725E3"/>
    <w:pPr>
      <w:widowControl w:val="0"/>
      <w:shd w:val="clear" w:color="auto" w:fill="FFFFFF"/>
      <w:spacing w:before="1920" w:line="222" w:lineRule="exact"/>
      <w:jc w:val="both"/>
    </w:pPr>
    <w:rPr>
      <w:rFonts w:ascii="Calibri" w:hAnsi="Calibri"/>
      <w:szCs w:val="20"/>
      <w:lang w:eastAsia="hr-HR"/>
    </w:rPr>
  </w:style>
  <w:style w:type="character" w:customStyle="1" w:styleId="CharStyle12">
    <w:name w:val="Char Style 12"/>
    <w:basedOn w:val="CharStyle11"/>
    <w:semiHidden/>
    <w:rsid w:val="00D725E3"/>
    <w:rPr>
      <w:rFonts w:ascii="Times New Roman" w:eastAsia="Times New Roman" w:hAnsi="Times New Roman" w:cs="Times New Roman" w:hint="default"/>
      <w:b/>
      <w:bCs/>
      <w:color w:val="000000"/>
      <w:spacing w:val="0"/>
      <w:w w:val="100"/>
      <w:position w:val="0"/>
      <w:sz w:val="21"/>
      <w:szCs w:val="21"/>
      <w:shd w:val="clear" w:color="auto" w:fill="FFFFFF"/>
      <w:lang w:val="hr-HR" w:eastAsia="hr-HR" w:bidi="hr-HR"/>
    </w:rPr>
  </w:style>
  <w:style w:type="paragraph" w:styleId="FootnoteText">
    <w:name w:val="footnote text"/>
    <w:basedOn w:val="Normal"/>
    <w:link w:val="FootnoteTextChar"/>
    <w:uiPriority w:val="99"/>
    <w:unhideWhenUsed/>
    <w:rsid w:val="00E90E1B"/>
    <w:rPr>
      <w:szCs w:val="20"/>
    </w:rPr>
  </w:style>
  <w:style w:type="character" w:customStyle="1" w:styleId="FootnoteTextChar">
    <w:name w:val="Footnote Text Char"/>
    <w:basedOn w:val="DefaultParagraphFont"/>
    <w:link w:val="FootnoteText"/>
    <w:uiPriority w:val="99"/>
    <w:rsid w:val="00E90E1B"/>
    <w:rPr>
      <w:rFonts w:ascii="Arial" w:hAnsi="Arial"/>
      <w:lang w:eastAsia="en-US"/>
    </w:rPr>
  </w:style>
  <w:style w:type="character" w:styleId="FootnoteReference">
    <w:name w:val="footnote reference"/>
    <w:basedOn w:val="DefaultParagraphFont"/>
    <w:uiPriority w:val="99"/>
    <w:unhideWhenUsed/>
    <w:rsid w:val="00E90E1B"/>
    <w:rPr>
      <w:vertAlign w:val="superscript"/>
    </w:rPr>
  </w:style>
  <w:style w:type="paragraph" w:customStyle="1" w:styleId="StyleNormalWebVerdana10pt">
    <w:name w:val="Style Normal (Web) + Verdana 10 pt"/>
    <w:basedOn w:val="NormalWeb"/>
    <w:rsid w:val="001B2D65"/>
    <w:pPr>
      <w:spacing w:before="100" w:beforeAutospacing="1" w:after="100" w:afterAutospacing="1"/>
      <w:jc w:val="both"/>
    </w:pPr>
    <w:rPr>
      <w:rFonts w:eastAsia="Times New Roman"/>
      <w:lang w:eastAsia="hr-HR"/>
    </w:rPr>
  </w:style>
  <w:style w:type="paragraph" w:styleId="NormalWeb">
    <w:name w:val="Normal (Web)"/>
    <w:basedOn w:val="Normal"/>
    <w:uiPriority w:val="99"/>
    <w:semiHidden/>
    <w:unhideWhenUsed/>
    <w:rsid w:val="001B2D65"/>
    <w:rPr>
      <w:rFonts w:ascii="Times New Roman" w:hAnsi="Times New Roman"/>
      <w:sz w:val="24"/>
      <w:szCs w:val="24"/>
    </w:rPr>
  </w:style>
  <w:style w:type="paragraph" w:styleId="BodyText">
    <w:name w:val="Body Text"/>
    <w:basedOn w:val="Normal"/>
    <w:link w:val="BodyTextChar"/>
    <w:uiPriority w:val="1"/>
    <w:qFormat/>
    <w:rsid w:val="00CA41CD"/>
    <w:pPr>
      <w:widowControl w:val="0"/>
      <w:autoSpaceDE w:val="0"/>
      <w:autoSpaceDN w:val="0"/>
    </w:pPr>
    <w:rPr>
      <w:rFonts w:ascii="Times New Roman" w:eastAsia="Times New Roman" w:hAnsi="Times New Roman"/>
      <w:sz w:val="21"/>
      <w:szCs w:val="21"/>
      <w:lang w:val="en-US"/>
    </w:rPr>
  </w:style>
  <w:style w:type="character" w:customStyle="1" w:styleId="BodyTextChar">
    <w:name w:val="Body Text Char"/>
    <w:basedOn w:val="DefaultParagraphFont"/>
    <w:link w:val="BodyText"/>
    <w:uiPriority w:val="1"/>
    <w:rsid w:val="00CA41CD"/>
    <w:rPr>
      <w:rFonts w:ascii="Times New Roman" w:eastAsia="Times New Roman" w:hAnsi="Times New Roman"/>
      <w:sz w:val="21"/>
      <w:szCs w:val="21"/>
      <w:lang w:val="en-US" w:eastAsia="en-US"/>
    </w:rPr>
  </w:style>
  <w:style w:type="paragraph" w:customStyle="1" w:styleId="TableParagraph">
    <w:name w:val="Table Paragraph"/>
    <w:basedOn w:val="Normal"/>
    <w:uiPriority w:val="1"/>
    <w:qFormat/>
    <w:rsid w:val="00E9056A"/>
    <w:pPr>
      <w:widowControl w:val="0"/>
      <w:autoSpaceDE w:val="0"/>
      <w:autoSpaceDN w:val="0"/>
    </w:pPr>
    <w:rPr>
      <w:rFonts w:ascii="Calibri" w:hAnsi="Calibri" w:cs="Calibri"/>
      <w:sz w:val="22"/>
      <w:lang w:val="en-US"/>
    </w:rPr>
  </w:style>
  <w:style w:type="character" w:styleId="CommentReference">
    <w:name w:val="annotation reference"/>
    <w:basedOn w:val="DefaultParagraphFont"/>
    <w:unhideWhenUsed/>
    <w:rsid w:val="003F63DE"/>
    <w:rPr>
      <w:sz w:val="16"/>
      <w:szCs w:val="16"/>
    </w:rPr>
  </w:style>
  <w:style w:type="paragraph" w:styleId="CommentText">
    <w:name w:val="annotation text"/>
    <w:basedOn w:val="Normal"/>
    <w:link w:val="CommentTextChar"/>
    <w:unhideWhenUsed/>
    <w:rsid w:val="003F63DE"/>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rsid w:val="003F63DE"/>
    <w:rPr>
      <w:rFonts w:asciiTheme="minorHAnsi" w:eastAsiaTheme="minorHAnsi" w:hAnsiTheme="minorHAnsi" w:cstheme="minorBidi"/>
      <w:lang w:eastAsia="en-US"/>
    </w:rPr>
  </w:style>
  <w:style w:type="character" w:styleId="FollowedHyperlink">
    <w:name w:val="FollowedHyperlink"/>
    <w:basedOn w:val="DefaultParagraphFont"/>
    <w:uiPriority w:val="99"/>
    <w:semiHidden/>
    <w:unhideWhenUsed/>
    <w:rsid w:val="004C3EE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F5D65"/>
    <w:pPr>
      <w:spacing w:after="0"/>
    </w:pPr>
    <w:rPr>
      <w:rFonts w:ascii="Arial" w:eastAsia="Calibri" w:hAnsi="Arial" w:cs="Times New Roman"/>
      <w:b/>
      <w:bCs/>
    </w:rPr>
  </w:style>
  <w:style w:type="character" w:customStyle="1" w:styleId="CommentSubjectChar">
    <w:name w:val="Comment Subject Char"/>
    <w:basedOn w:val="CommentTextChar"/>
    <w:link w:val="CommentSubject"/>
    <w:uiPriority w:val="99"/>
    <w:semiHidden/>
    <w:rsid w:val="00BF5D65"/>
    <w:rPr>
      <w:rFonts w:ascii="Arial" w:eastAsiaTheme="minorHAnsi" w:hAnsi="Arial" w:cstheme="minorBidi"/>
      <w:b/>
      <w:bCs/>
      <w:lang w:eastAsia="en-US"/>
    </w:rPr>
  </w:style>
  <w:style w:type="paragraph" w:styleId="TOCHeading">
    <w:name w:val="TOC Heading"/>
    <w:basedOn w:val="Heading1"/>
    <w:next w:val="Normal"/>
    <w:uiPriority w:val="39"/>
    <w:unhideWhenUsed/>
    <w:qFormat/>
    <w:rsid w:val="000610A3"/>
    <w:pPr>
      <w:numPr>
        <w:numId w:val="0"/>
      </w:numPr>
      <w:spacing w:line="259" w:lineRule="auto"/>
      <w:outlineLvl w:val="9"/>
    </w:pPr>
    <w:rPr>
      <w:lang w:eastAsia="hr-HR"/>
    </w:rPr>
  </w:style>
  <w:style w:type="paragraph" w:styleId="TOC2">
    <w:name w:val="toc 2"/>
    <w:basedOn w:val="Normal"/>
    <w:next w:val="Normal"/>
    <w:autoRedefine/>
    <w:uiPriority w:val="39"/>
    <w:unhideWhenUsed/>
    <w:rsid w:val="00574765"/>
    <w:pPr>
      <w:tabs>
        <w:tab w:val="left" w:pos="993"/>
        <w:tab w:val="right" w:leader="dot" w:pos="9017"/>
      </w:tabs>
      <w:spacing w:after="100" w:line="259" w:lineRule="auto"/>
      <w:ind w:left="993" w:hanging="633"/>
    </w:pPr>
    <w:rPr>
      <w:rFonts w:eastAsiaTheme="minorEastAsia" w:cs="Arial"/>
      <w:b/>
      <w:bCs/>
      <w:noProof/>
      <w:szCs w:val="20"/>
      <w:lang w:eastAsia="hr-HR"/>
    </w:rPr>
  </w:style>
  <w:style w:type="paragraph" w:styleId="TOC1">
    <w:name w:val="toc 1"/>
    <w:basedOn w:val="Normal"/>
    <w:next w:val="Normal"/>
    <w:autoRedefine/>
    <w:uiPriority w:val="39"/>
    <w:unhideWhenUsed/>
    <w:rsid w:val="00877EF7"/>
    <w:pPr>
      <w:tabs>
        <w:tab w:val="left" w:pos="709"/>
        <w:tab w:val="right" w:leader="dot" w:pos="9017"/>
      </w:tabs>
      <w:spacing w:after="100" w:line="259" w:lineRule="auto"/>
      <w:ind w:left="284"/>
    </w:pPr>
    <w:rPr>
      <w:rFonts w:eastAsiaTheme="minorEastAsia" w:cs="Arial"/>
      <w:b/>
      <w:noProof/>
      <w:szCs w:val="20"/>
      <w:lang w:eastAsia="hr-HR"/>
    </w:rPr>
  </w:style>
  <w:style w:type="paragraph" w:styleId="TOC3">
    <w:name w:val="toc 3"/>
    <w:basedOn w:val="Normal"/>
    <w:next w:val="Normal"/>
    <w:autoRedefine/>
    <w:uiPriority w:val="39"/>
    <w:unhideWhenUsed/>
    <w:rsid w:val="00877EF7"/>
    <w:pPr>
      <w:tabs>
        <w:tab w:val="left" w:pos="1276"/>
        <w:tab w:val="right" w:leader="dot" w:pos="9017"/>
      </w:tabs>
      <w:spacing w:after="100" w:line="259" w:lineRule="auto"/>
      <w:ind w:left="1276"/>
    </w:pPr>
    <w:rPr>
      <w:rFonts w:eastAsiaTheme="minorEastAsia" w:cs="Arial"/>
      <w:noProof/>
      <w:szCs w:val="20"/>
      <w:lang w:eastAsia="hr-HR"/>
    </w:rPr>
  </w:style>
  <w:style w:type="character" w:customStyle="1" w:styleId="Style11pt">
    <w:name w:val="Style 11 pt"/>
    <w:rsid w:val="007011C4"/>
    <w:rPr>
      <w:sz w:val="22"/>
    </w:rPr>
  </w:style>
  <w:style w:type="paragraph" w:styleId="BodyText2">
    <w:name w:val="Body Text 2"/>
    <w:basedOn w:val="Normal"/>
    <w:link w:val="BodyText2Char"/>
    <w:uiPriority w:val="99"/>
    <w:semiHidden/>
    <w:unhideWhenUsed/>
    <w:rsid w:val="00515402"/>
    <w:pPr>
      <w:spacing w:after="120" w:line="480" w:lineRule="auto"/>
    </w:pPr>
  </w:style>
  <w:style w:type="character" w:customStyle="1" w:styleId="BodyText2Char">
    <w:name w:val="Body Text 2 Char"/>
    <w:basedOn w:val="DefaultParagraphFont"/>
    <w:link w:val="BodyText2"/>
    <w:uiPriority w:val="99"/>
    <w:semiHidden/>
    <w:rsid w:val="00515402"/>
    <w:rPr>
      <w:rFonts w:ascii="Arial" w:hAnsi="Arial"/>
      <w:szCs w:val="22"/>
      <w:lang w:eastAsia="en-US"/>
    </w:rPr>
  </w:style>
  <w:style w:type="character" w:customStyle="1" w:styleId="ListParagraphChar">
    <w:name w:val="List Paragraph Char"/>
    <w:aliases w:val="3 Char,Akapit z listą BS Char,Bullet1 Char,Bullets Char,Ha Char,Heading 11 Char,IBL List Paragraph Char,L Char,List Paragraph (numbered (a)) Char,List Paragraph 1 Char,List Paragraph nowy Char,List Paragraph-ExecSummary Char,l Char"/>
    <w:link w:val="ListParagraph"/>
    <w:uiPriority w:val="34"/>
    <w:qFormat/>
    <w:locked/>
    <w:rsid w:val="008207EB"/>
    <w:rPr>
      <w:rFonts w:ascii="Arial" w:hAnsi="Arial"/>
      <w:szCs w:val="22"/>
      <w:lang w:eastAsia="en-US"/>
    </w:rPr>
  </w:style>
  <w:style w:type="paragraph" w:styleId="PlainText">
    <w:name w:val="Plain Text"/>
    <w:basedOn w:val="Normal"/>
    <w:link w:val="PlainTextChar"/>
    <w:uiPriority w:val="99"/>
    <w:unhideWhenUsed/>
    <w:rsid w:val="0029175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9175D"/>
    <w:rPr>
      <w:rFonts w:eastAsiaTheme="minorHAnsi" w:cstheme="minorBidi"/>
      <w:sz w:val="22"/>
      <w:szCs w:val="21"/>
      <w:lang w:eastAsia="en-US"/>
    </w:rPr>
  </w:style>
  <w:style w:type="table" w:customStyle="1" w:styleId="TableGrid1">
    <w:name w:val="Table Grid1"/>
    <w:basedOn w:val="TableNormal"/>
    <w:next w:val="TableGrid"/>
    <w:rsid w:val="001340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vci">
    <w:name w:val="Stavci"/>
    <w:basedOn w:val="Normal"/>
    <w:qFormat/>
    <w:rsid w:val="002B4822"/>
    <w:pPr>
      <w:numPr>
        <w:numId w:val="7"/>
      </w:numPr>
      <w:spacing w:before="120"/>
      <w:jc w:val="both"/>
    </w:pPr>
    <w:rPr>
      <w:rFonts w:ascii="Times New Roman" w:hAnsi="Times New Roman"/>
      <w:sz w:val="24"/>
      <w:szCs w:val="24"/>
    </w:rPr>
  </w:style>
  <w:style w:type="paragraph" w:styleId="Subtitle">
    <w:name w:val="Subtitle"/>
    <w:basedOn w:val="Normal"/>
    <w:next w:val="Normal"/>
    <w:link w:val="SubtitleChar"/>
    <w:uiPriority w:val="11"/>
    <w:qFormat/>
    <w:rsid w:val="00CB36FB"/>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CB36FB"/>
    <w:rPr>
      <w:rFonts w:asciiTheme="minorHAnsi" w:eastAsiaTheme="minorEastAsia" w:hAnsiTheme="minorHAnsi" w:cstheme="minorBidi"/>
      <w:color w:val="5A5A5A" w:themeColor="text1" w:themeTint="A5"/>
      <w:spacing w:val="15"/>
      <w:sz w:val="22"/>
      <w:szCs w:val="22"/>
      <w:lang w:eastAsia="en-US"/>
    </w:rPr>
  </w:style>
  <w:style w:type="paragraph" w:customStyle="1" w:styleId="Default">
    <w:name w:val="Default"/>
    <w:rsid w:val="00BD538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B7775"/>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5758">
      <w:bodyDiv w:val="1"/>
      <w:marLeft w:val="0"/>
      <w:marRight w:val="0"/>
      <w:marTop w:val="0"/>
      <w:marBottom w:val="0"/>
      <w:divBdr>
        <w:top w:val="none" w:sz="0" w:space="0" w:color="auto"/>
        <w:left w:val="none" w:sz="0" w:space="0" w:color="auto"/>
        <w:bottom w:val="none" w:sz="0" w:space="0" w:color="auto"/>
        <w:right w:val="none" w:sz="0" w:space="0" w:color="auto"/>
      </w:divBdr>
    </w:div>
    <w:div w:id="740325550">
      <w:bodyDiv w:val="1"/>
      <w:marLeft w:val="0"/>
      <w:marRight w:val="0"/>
      <w:marTop w:val="0"/>
      <w:marBottom w:val="0"/>
      <w:divBdr>
        <w:top w:val="none" w:sz="0" w:space="0" w:color="auto"/>
        <w:left w:val="none" w:sz="0" w:space="0" w:color="auto"/>
        <w:bottom w:val="none" w:sz="0" w:space="0" w:color="auto"/>
        <w:right w:val="none" w:sz="0" w:space="0" w:color="auto"/>
      </w:divBdr>
    </w:div>
    <w:div w:id="1272394768">
      <w:bodyDiv w:val="1"/>
      <w:marLeft w:val="0"/>
      <w:marRight w:val="0"/>
      <w:marTop w:val="0"/>
      <w:marBottom w:val="0"/>
      <w:divBdr>
        <w:top w:val="none" w:sz="0" w:space="0" w:color="auto"/>
        <w:left w:val="none" w:sz="0" w:space="0" w:color="auto"/>
        <w:bottom w:val="none" w:sz="0" w:space="0" w:color="auto"/>
        <w:right w:val="none" w:sz="0" w:space="0" w:color="auto"/>
      </w:divBdr>
    </w:div>
    <w:div w:id="193986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bor.hr/pravilnik-o-upravljanju-reputacijskim-rizikom-hbor-a-koji-proizlazi-iz-poslovnog-odnosa-s-klijent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bor.hr/wp-content/uploads/2016/10/Ogranicenje-u-kreditiranju-drzavnih-duznosnika.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bor.hr/naslovnica/hbor/poduzetnici-u-teskocam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HR/TXT/PDF/?uri=OJ:C:2014:249:FULL&amp;from=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1F54D87BFF5D46AFF96CAF74CCCABA" ma:contentTypeVersion="1" ma:contentTypeDescription="Create a new document." ma:contentTypeScope="" ma:versionID="e260719ec15ddbd82ac1795ed88cb393">
  <xsd:schema xmlns:xsd="http://www.w3.org/2001/XMLSchema" xmlns:xs="http://www.w3.org/2001/XMLSchema" xmlns:p="http://schemas.microsoft.com/office/2006/metadata/properties" xmlns:ns2="cc1bae78-4333-4ddf-b08b-bd286aa6bb3e" targetNamespace="http://schemas.microsoft.com/office/2006/metadata/properties" ma:root="true" ma:fieldsID="13d209ee6fcbad0fc41235b99368786a" ns2:_="">
    <xsd:import namespace="cc1bae78-4333-4ddf-b08b-bd286aa6bb3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65091-8F13-402C-994C-D5804BE0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19F1C-ED2D-4FE4-A686-DA61FAF4BF87}">
  <ds:schemaRefs>
    <ds:schemaRef ds:uri="http://schemas.microsoft.com/sharepoint/v3/contenttype/forms"/>
  </ds:schemaRefs>
</ds:datastoreItem>
</file>

<file path=customXml/itemProps3.xml><?xml version="1.0" encoding="utf-8"?>
<ds:datastoreItem xmlns:ds="http://schemas.openxmlformats.org/officeDocument/2006/customXml" ds:itemID="{F42EFC5A-1FF9-45BF-9DE1-FE7B99501A1D}">
  <ds:schemaRefs>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cc1bae78-4333-4ddf-b08b-bd286aa6bb3e"/>
    <ds:schemaRef ds:uri="http://purl.org/dc/dcmitype/"/>
  </ds:schemaRefs>
</ds:datastoreItem>
</file>

<file path=customXml/itemProps4.xml><?xml version="1.0" encoding="utf-8"?>
<ds:datastoreItem xmlns:ds="http://schemas.openxmlformats.org/officeDocument/2006/customXml" ds:itemID="{6CB2B2CD-9826-4E9E-8E74-957A0478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12</Pages>
  <Words>5050</Words>
  <Characters>28786</Characters>
  <Application>Microsoft Office Word</Application>
  <DocSecurity>0</DocSecurity>
  <Lines>239</Lines>
  <Paragraphs>67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iva.sunjic</dc:creator>
  <cp:keywords/>
  <dc:description/>
  <cp:lastModifiedBy>Jakić Emilija</cp:lastModifiedBy>
  <cp:revision>386</cp:revision>
  <cp:lastPrinted>2023-06-14T11:39:00Z</cp:lastPrinted>
  <dcterms:created xsi:type="dcterms:W3CDTF">2023-06-06T09:50:00Z</dcterms:created>
  <dcterms:modified xsi:type="dcterms:W3CDTF">2023-06-14T11:40:00Z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0x010100901F54D87BFF5D46AFF96CAF74CCCABA</vt:lpwstr>
  </property>
  <property fmtid="{D5CDD505-2E9C-101B-9397-08002B2CF9AE}" pid="3" name="Datum ažuriranja">
    <vt:filetime>2018-07-27T11:43:25Z</vt:filetime>
  </property>
</Properties>
</file>